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576A" w14:textId="1ED49D1D" w:rsidR="007D527C" w:rsidRPr="007D527C" w:rsidRDefault="007D527C" w:rsidP="007D527C">
      <w:pPr>
        <w:spacing w:after="0" w:line="240" w:lineRule="auto"/>
        <w:jc w:val="right"/>
        <w:rPr>
          <w:rFonts w:ascii="Calibri" w:hAnsi="Calibri" w:cs="Calibri"/>
          <w:b/>
          <w:bCs/>
          <w:sz w:val="24"/>
          <w:szCs w:val="24"/>
        </w:rPr>
      </w:pPr>
      <w:r w:rsidRPr="007D527C">
        <w:rPr>
          <w:rFonts w:ascii="Calibri" w:hAnsi="Calibri" w:cs="Calibri"/>
          <w:b/>
          <w:bCs/>
          <w:sz w:val="24"/>
          <w:szCs w:val="24"/>
        </w:rPr>
        <w:t>DOI: https://doi.org/10.23913/cagi.v11i22.327</w:t>
      </w:r>
    </w:p>
    <w:p w14:paraId="2C975816" w14:textId="77777777" w:rsidR="007D527C" w:rsidRDefault="007D527C" w:rsidP="00447209">
      <w:pPr>
        <w:spacing w:after="0" w:line="240" w:lineRule="auto"/>
        <w:jc w:val="both"/>
        <w:rPr>
          <w:rFonts w:ascii="Calibri" w:hAnsi="Calibri" w:cs="Calibri"/>
          <w:b/>
          <w:bCs/>
          <w:sz w:val="28"/>
          <w:szCs w:val="28"/>
        </w:rPr>
      </w:pPr>
    </w:p>
    <w:p w14:paraId="3430F3C9" w14:textId="1DB4651A" w:rsidR="00752F57" w:rsidRPr="007D527C" w:rsidRDefault="00752F57" w:rsidP="007D527C">
      <w:pPr>
        <w:spacing w:after="0" w:line="240" w:lineRule="auto"/>
        <w:jc w:val="right"/>
        <w:rPr>
          <w:rFonts w:ascii="Calibri" w:hAnsi="Calibri" w:cs="Calibri"/>
          <w:b/>
          <w:bCs/>
          <w:sz w:val="32"/>
          <w:szCs w:val="32"/>
        </w:rPr>
      </w:pPr>
      <w:r w:rsidRPr="007D527C">
        <w:rPr>
          <w:rFonts w:ascii="Calibri" w:hAnsi="Calibri" w:cs="Calibri"/>
          <w:b/>
          <w:bCs/>
          <w:sz w:val="32"/>
          <w:szCs w:val="32"/>
        </w:rPr>
        <w:t xml:space="preserve">Ambientes de </w:t>
      </w:r>
      <w:r w:rsidR="00FD363F" w:rsidRPr="007D527C">
        <w:rPr>
          <w:rFonts w:ascii="Calibri" w:hAnsi="Calibri" w:cs="Calibri"/>
          <w:b/>
          <w:bCs/>
          <w:sz w:val="32"/>
          <w:szCs w:val="32"/>
        </w:rPr>
        <w:t>a</w:t>
      </w:r>
      <w:r w:rsidRPr="007D527C">
        <w:rPr>
          <w:rFonts w:ascii="Calibri" w:hAnsi="Calibri" w:cs="Calibri"/>
          <w:b/>
          <w:bCs/>
          <w:sz w:val="32"/>
          <w:szCs w:val="32"/>
        </w:rPr>
        <w:t xml:space="preserve">prendizaje como una herramienta </w:t>
      </w:r>
      <w:r w:rsidR="00FD363F" w:rsidRPr="007D527C">
        <w:rPr>
          <w:rFonts w:ascii="Calibri" w:hAnsi="Calibri" w:cs="Calibri"/>
          <w:b/>
          <w:bCs/>
          <w:sz w:val="32"/>
          <w:szCs w:val="32"/>
        </w:rPr>
        <w:t>d</w:t>
      </w:r>
      <w:r w:rsidRPr="007D527C">
        <w:rPr>
          <w:rFonts w:ascii="Calibri" w:hAnsi="Calibri" w:cs="Calibri"/>
          <w:b/>
          <w:bCs/>
          <w:sz w:val="32"/>
          <w:szCs w:val="32"/>
        </w:rPr>
        <w:t>idáctica</w:t>
      </w:r>
    </w:p>
    <w:p w14:paraId="37410082" w14:textId="77777777" w:rsidR="007D527C" w:rsidRDefault="007D527C" w:rsidP="007D527C">
      <w:pPr>
        <w:spacing w:after="0" w:line="240" w:lineRule="auto"/>
        <w:jc w:val="right"/>
        <w:rPr>
          <w:rFonts w:ascii="Calibri" w:hAnsi="Calibri" w:cs="Calibri"/>
          <w:i/>
          <w:iCs/>
          <w:sz w:val="32"/>
          <w:szCs w:val="32"/>
        </w:rPr>
      </w:pPr>
    </w:p>
    <w:p w14:paraId="0EE9DBA2" w14:textId="451AFBF7" w:rsidR="00FD363F" w:rsidRPr="007D527C" w:rsidRDefault="00FD363F" w:rsidP="007D527C">
      <w:pPr>
        <w:spacing w:after="0" w:line="240" w:lineRule="auto"/>
        <w:jc w:val="right"/>
        <w:rPr>
          <w:rFonts w:ascii="Calibri" w:hAnsi="Calibri" w:cs="Calibri"/>
          <w:i/>
          <w:iCs/>
          <w:sz w:val="32"/>
          <w:szCs w:val="32"/>
        </w:rPr>
      </w:pPr>
      <w:proofErr w:type="spellStart"/>
      <w:r w:rsidRPr="007D527C">
        <w:rPr>
          <w:rFonts w:ascii="Calibri" w:hAnsi="Calibri" w:cs="Calibri"/>
          <w:i/>
          <w:iCs/>
          <w:sz w:val="32"/>
          <w:szCs w:val="32"/>
        </w:rPr>
        <w:t>Learning</w:t>
      </w:r>
      <w:proofErr w:type="spellEnd"/>
      <w:r w:rsidRPr="007D527C">
        <w:rPr>
          <w:rFonts w:ascii="Calibri" w:hAnsi="Calibri" w:cs="Calibri"/>
          <w:i/>
          <w:iCs/>
          <w:sz w:val="32"/>
          <w:szCs w:val="32"/>
        </w:rPr>
        <w:t xml:space="preserve"> </w:t>
      </w:r>
      <w:proofErr w:type="spellStart"/>
      <w:r w:rsidRPr="007D527C">
        <w:rPr>
          <w:rFonts w:ascii="Calibri" w:hAnsi="Calibri" w:cs="Calibri"/>
          <w:i/>
          <w:iCs/>
          <w:sz w:val="32"/>
          <w:szCs w:val="32"/>
        </w:rPr>
        <w:t>environments</w:t>
      </w:r>
      <w:proofErr w:type="spellEnd"/>
      <w:r w:rsidRPr="007D527C">
        <w:rPr>
          <w:rFonts w:ascii="Calibri" w:hAnsi="Calibri" w:cs="Calibri"/>
          <w:i/>
          <w:iCs/>
          <w:sz w:val="32"/>
          <w:szCs w:val="32"/>
        </w:rPr>
        <w:t xml:space="preserve"> as a </w:t>
      </w:r>
      <w:proofErr w:type="spellStart"/>
      <w:r w:rsidRPr="007D527C">
        <w:rPr>
          <w:rFonts w:ascii="Calibri" w:hAnsi="Calibri" w:cs="Calibri"/>
          <w:i/>
          <w:iCs/>
          <w:sz w:val="32"/>
          <w:szCs w:val="32"/>
        </w:rPr>
        <w:t>teaching</w:t>
      </w:r>
      <w:proofErr w:type="spellEnd"/>
      <w:r w:rsidRPr="007D527C">
        <w:rPr>
          <w:rFonts w:ascii="Calibri" w:hAnsi="Calibri" w:cs="Calibri"/>
          <w:i/>
          <w:iCs/>
          <w:sz w:val="32"/>
          <w:szCs w:val="32"/>
        </w:rPr>
        <w:t xml:space="preserve"> </w:t>
      </w:r>
      <w:proofErr w:type="spellStart"/>
      <w:r w:rsidRPr="007D527C">
        <w:rPr>
          <w:rFonts w:ascii="Calibri" w:hAnsi="Calibri" w:cs="Calibri"/>
          <w:i/>
          <w:iCs/>
          <w:sz w:val="32"/>
          <w:szCs w:val="32"/>
        </w:rPr>
        <w:t>tool</w:t>
      </w:r>
      <w:proofErr w:type="spellEnd"/>
      <w:r w:rsidRPr="007D527C">
        <w:rPr>
          <w:rFonts w:ascii="Calibri" w:hAnsi="Calibri" w:cs="Calibri"/>
          <w:i/>
          <w:iCs/>
          <w:sz w:val="32"/>
          <w:szCs w:val="32"/>
        </w:rPr>
        <w:t>.</w:t>
      </w:r>
    </w:p>
    <w:p w14:paraId="22A96565" w14:textId="77777777" w:rsidR="00FD363F" w:rsidRPr="007D527C" w:rsidRDefault="00FD363F" w:rsidP="007D527C">
      <w:pPr>
        <w:spacing w:after="0" w:line="240" w:lineRule="auto"/>
        <w:ind w:left="708"/>
        <w:jc w:val="right"/>
        <w:rPr>
          <w:rFonts w:ascii="Calibri" w:hAnsi="Calibri" w:cs="Calibri"/>
          <w:sz w:val="32"/>
          <w:szCs w:val="32"/>
        </w:rPr>
      </w:pPr>
    </w:p>
    <w:p w14:paraId="2548CAE8" w14:textId="77777777" w:rsidR="00447209" w:rsidRDefault="00447209" w:rsidP="003E76DF">
      <w:pPr>
        <w:spacing w:after="0" w:line="240" w:lineRule="auto"/>
        <w:ind w:left="708"/>
        <w:jc w:val="both"/>
        <w:rPr>
          <w:rFonts w:ascii="Calibri" w:hAnsi="Calibri" w:cs="Calibri"/>
          <w:sz w:val="24"/>
          <w:szCs w:val="24"/>
        </w:rPr>
      </w:pPr>
    </w:p>
    <w:p w14:paraId="4431CCEB" w14:textId="77777777" w:rsidR="00447209" w:rsidRPr="003E76DF" w:rsidRDefault="00447209" w:rsidP="003E76DF">
      <w:pPr>
        <w:spacing w:after="0" w:line="240" w:lineRule="auto"/>
        <w:ind w:left="708"/>
        <w:jc w:val="both"/>
        <w:rPr>
          <w:rFonts w:ascii="Calibri" w:hAnsi="Calibri" w:cs="Calibri"/>
          <w:sz w:val="24"/>
          <w:szCs w:val="24"/>
        </w:rPr>
      </w:pPr>
    </w:p>
    <w:p w14:paraId="55052256" w14:textId="77777777" w:rsidR="00752F57" w:rsidRPr="00447209" w:rsidRDefault="00752F57" w:rsidP="003E76DF">
      <w:pPr>
        <w:spacing w:after="0" w:line="240" w:lineRule="auto"/>
        <w:ind w:left="708"/>
        <w:jc w:val="right"/>
        <w:rPr>
          <w:rFonts w:ascii="Calibri" w:hAnsi="Calibri" w:cs="Calibri"/>
          <w:b/>
          <w:bCs/>
          <w:sz w:val="24"/>
          <w:szCs w:val="24"/>
        </w:rPr>
      </w:pPr>
      <w:r w:rsidRPr="00447209">
        <w:rPr>
          <w:rFonts w:ascii="Calibri" w:hAnsi="Calibri" w:cs="Calibri"/>
          <w:b/>
          <w:bCs/>
          <w:sz w:val="24"/>
          <w:szCs w:val="24"/>
        </w:rPr>
        <w:t>Selene Margarita Vázquez Soto</w:t>
      </w:r>
    </w:p>
    <w:p w14:paraId="15972E7A" w14:textId="77777777" w:rsidR="0055720C" w:rsidRPr="003E76DF" w:rsidRDefault="0055720C" w:rsidP="003E76DF">
      <w:pPr>
        <w:spacing w:after="0" w:line="240" w:lineRule="auto"/>
        <w:ind w:left="708"/>
        <w:jc w:val="right"/>
        <w:rPr>
          <w:rFonts w:ascii="Calibri" w:hAnsi="Calibri" w:cs="Calibri"/>
          <w:sz w:val="24"/>
          <w:szCs w:val="24"/>
        </w:rPr>
      </w:pPr>
      <w:r w:rsidRPr="003E76DF">
        <w:rPr>
          <w:rFonts w:ascii="Calibri" w:hAnsi="Calibri" w:cs="Calibri"/>
          <w:sz w:val="24"/>
          <w:szCs w:val="24"/>
        </w:rPr>
        <w:t xml:space="preserve">   Instituto Politécnico Nacional</w:t>
      </w:r>
    </w:p>
    <w:p w14:paraId="41031F8C" w14:textId="1EE95E92" w:rsidR="00752F57" w:rsidRPr="003E76DF" w:rsidRDefault="00752F57" w:rsidP="003E76DF">
      <w:pPr>
        <w:spacing w:after="0" w:line="240" w:lineRule="auto"/>
        <w:ind w:left="708"/>
        <w:jc w:val="right"/>
        <w:rPr>
          <w:rFonts w:ascii="Calibri" w:hAnsi="Calibri" w:cs="Calibri"/>
          <w:color w:val="FF0000"/>
          <w:sz w:val="24"/>
          <w:szCs w:val="24"/>
        </w:rPr>
      </w:pPr>
      <w:hyperlink r:id="rId8" w:history="1">
        <w:r w:rsidRPr="003E76DF">
          <w:rPr>
            <w:rStyle w:val="Hipervnculo"/>
            <w:rFonts w:ascii="Calibri" w:hAnsi="Calibri" w:cs="Calibri"/>
            <w:color w:val="FF0000"/>
            <w:sz w:val="24"/>
            <w:szCs w:val="24"/>
            <w:u w:val="none"/>
          </w:rPr>
          <w:t>sel1310@hotmail.com</w:t>
        </w:r>
      </w:hyperlink>
    </w:p>
    <w:p w14:paraId="780BEB01" w14:textId="77777777" w:rsidR="00752F57" w:rsidRPr="003E76DF" w:rsidRDefault="00752F57" w:rsidP="003E76DF">
      <w:pPr>
        <w:spacing w:after="0" w:line="240" w:lineRule="auto"/>
        <w:ind w:left="708"/>
        <w:jc w:val="both"/>
        <w:rPr>
          <w:rFonts w:ascii="Calibri" w:hAnsi="Calibri" w:cs="Calibri"/>
          <w:sz w:val="24"/>
          <w:szCs w:val="24"/>
        </w:rPr>
      </w:pPr>
    </w:p>
    <w:p w14:paraId="3F38BEB5" w14:textId="62013893" w:rsidR="00752F57" w:rsidRPr="007D527C" w:rsidRDefault="00752F57" w:rsidP="003E76DF">
      <w:pPr>
        <w:spacing w:after="0" w:line="240" w:lineRule="auto"/>
        <w:jc w:val="both"/>
        <w:rPr>
          <w:rFonts w:ascii="Calibri" w:hAnsi="Calibri" w:cs="Calibri"/>
          <w:b/>
          <w:bCs/>
          <w:color w:val="333333"/>
          <w:sz w:val="28"/>
          <w:szCs w:val="28"/>
          <w:shd w:val="clear" w:color="auto" w:fill="FFFFFF"/>
        </w:rPr>
      </w:pPr>
      <w:r w:rsidRPr="007D527C">
        <w:rPr>
          <w:rFonts w:ascii="Calibri" w:hAnsi="Calibri" w:cs="Calibri"/>
          <w:b/>
          <w:bCs/>
          <w:color w:val="333333"/>
          <w:sz w:val="28"/>
          <w:szCs w:val="28"/>
          <w:shd w:val="clear" w:color="auto" w:fill="FFFFFF"/>
        </w:rPr>
        <w:t>R</w:t>
      </w:r>
      <w:r w:rsidR="003E76DF" w:rsidRPr="007D527C">
        <w:rPr>
          <w:rFonts w:ascii="Calibri" w:hAnsi="Calibri" w:cs="Calibri"/>
          <w:b/>
          <w:bCs/>
          <w:color w:val="333333"/>
          <w:sz w:val="28"/>
          <w:szCs w:val="28"/>
          <w:shd w:val="clear" w:color="auto" w:fill="FFFFFF"/>
        </w:rPr>
        <w:t>esumen</w:t>
      </w:r>
    </w:p>
    <w:p w14:paraId="30A1CEF9" w14:textId="08EF512B" w:rsidR="00CA663A" w:rsidRPr="003E76DF" w:rsidRDefault="00CA663A" w:rsidP="003E76DF">
      <w:pPr>
        <w:spacing w:after="0" w:line="240" w:lineRule="auto"/>
        <w:jc w:val="both"/>
        <w:rPr>
          <w:rFonts w:ascii="Calibri" w:hAnsi="Calibri" w:cs="Calibri"/>
          <w:sz w:val="24"/>
          <w:szCs w:val="24"/>
        </w:rPr>
      </w:pPr>
      <w:r w:rsidRPr="003E76DF">
        <w:rPr>
          <w:rFonts w:ascii="Calibri" w:hAnsi="Calibri" w:cs="Calibri"/>
          <w:sz w:val="24"/>
          <w:szCs w:val="24"/>
        </w:rPr>
        <w:t>Los ambientes de aprendizaje no solo facilitan la transmisión de conocimientos, sino que también potencian la experiencia educativa al hacerla más dinámica, inclusiva y orientada al desarrollo integral de los estudiantes.</w:t>
      </w:r>
      <w:r w:rsidR="00410049" w:rsidRPr="003E76DF">
        <w:rPr>
          <w:rFonts w:ascii="Calibri" w:hAnsi="Calibri" w:cs="Calibri"/>
          <w:sz w:val="24"/>
          <w:szCs w:val="24"/>
        </w:rPr>
        <w:t xml:space="preserve"> </w:t>
      </w:r>
      <w:r w:rsidRPr="003E76DF">
        <w:rPr>
          <w:rFonts w:ascii="Calibri" w:hAnsi="Calibri" w:cs="Calibri"/>
          <w:sz w:val="24"/>
          <w:szCs w:val="24"/>
        </w:rPr>
        <w:t>El interés de abordar el tema de los ambientes de aprendizaje radica en su impacto directo en la calidad y efectividad de la educación; comprender y mejorar estos entornos permite a educadores, instituciones y estudiantes maximizar el potencial del proceso de enseñanza-aprendizaje, adaptándolo a las demandas de un mundo en constante cambio; que no solo transmitan conocimientos, sino que también preparen a los estudiantes para los retos de la vida, fomentando su crecimiento personal y académico en un entorno adecuado, dinámico y accesible.</w:t>
      </w:r>
    </w:p>
    <w:p w14:paraId="12AFE561" w14:textId="77777777" w:rsidR="003E76DF" w:rsidRDefault="003E76DF" w:rsidP="003E76DF">
      <w:pPr>
        <w:spacing w:after="0" w:line="240" w:lineRule="auto"/>
        <w:jc w:val="both"/>
        <w:rPr>
          <w:rFonts w:ascii="Calibri" w:hAnsi="Calibri" w:cs="Calibri"/>
          <w:b/>
          <w:bCs/>
          <w:sz w:val="24"/>
          <w:szCs w:val="24"/>
        </w:rPr>
      </w:pPr>
    </w:p>
    <w:p w14:paraId="1E30A3C1" w14:textId="466EF168" w:rsidR="00752F57" w:rsidRPr="003E76DF" w:rsidRDefault="00752F57" w:rsidP="003E76DF">
      <w:pPr>
        <w:spacing w:after="0" w:line="240" w:lineRule="auto"/>
        <w:jc w:val="both"/>
        <w:rPr>
          <w:rFonts w:ascii="Calibri" w:hAnsi="Calibri" w:cs="Calibri"/>
          <w:b/>
          <w:bCs/>
          <w:sz w:val="24"/>
          <w:szCs w:val="24"/>
        </w:rPr>
      </w:pPr>
      <w:r w:rsidRPr="007D527C">
        <w:rPr>
          <w:rFonts w:ascii="Calibri" w:hAnsi="Calibri" w:cs="Calibri"/>
          <w:b/>
          <w:bCs/>
          <w:sz w:val="28"/>
          <w:szCs w:val="28"/>
        </w:rPr>
        <w:t>P</w:t>
      </w:r>
      <w:r w:rsidR="003E76DF" w:rsidRPr="007D527C">
        <w:rPr>
          <w:rFonts w:ascii="Calibri" w:hAnsi="Calibri" w:cs="Calibri"/>
          <w:b/>
          <w:bCs/>
          <w:sz w:val="28"/>
          <w:szCs w:val="28"/>
        </w:rPr>
        <w:t>alabras clave</w:t>
      </w:r>
      <w:r w:rsidRPr="003E76DF">
        <w:rPr>
          <w:rFonts w:ascii="Calibri" w:hAnsi="Calibri" w:cs="Calibri"/>
          <w:b/>
          <w:bCs/>
          <w:sz w:val="24"/>
          <w:szCs w:val="24"/>
        </w:rPr>
        <w:t>:</w:t>
      </w:r>
      <w:r w:rsidR="002A0814" w:rsidRPr="003E76DF">
        <w:rPr>
          <w:rFonts w:ascii="Calibri" w:hAnsi="Calibri" w:cs="Calibri"/>
          <w:b/>
          <w:bCs/>
          <w:sz w:val="24"/>
          <w:szCs w:val="24"/>
        </w:rPr>
        <w:t xml:space="preserve"> </w:t>
      </w:r>
      <w:r w:rsidR="002A0814" w:rsidRPr="003E76DF">
        <w:rPr>
          <w:rFonts w:ascii="Calibri" w:hAnsi="Calibri" w:cs="Calibri"/>
          <w:sz w:val="24"/>
          <w:szCs w:val="24"/>
        </w:rPr>
        <w:t>Educación</w:t>
      </w:r>
      <w:r w:rsidRPr="003E76DF">
        <w:rPr>
          <w:rFonts w:ascii="Calibri" w:hAnsi="Calibri" w:cs="Calibri"/>
          <w:sz w:val="24"/>
          <w:szCs w:val="24"/>
        </w:rPr>
        <w:t xml:space="preserve">, </w:t>
      </w:r>
      <w:r w:rsidR="002A0814" w:rsidRPr="003E76DF">
        <w:rPr>
          <w:rFonts w:ascii="Calibri" w:hAnsi="Calibri" w:cs="Calibri"/>
          <w:sz w:val="24"/>
          <w:szCs w:val="24"/>
        </w:rPr>
        <w:t>Sociedad</w:t>
      </w:r>
      <w:r w:rsidRPr="003E76DF">
        <w:rPr>
          <w:rFonts w:ascii="Calibri" w:hAnsi="Calibri" w:cs="Calibri"/>
          <w:sz w:val="24"/>
          <w:szCs w:val="24"/>
        </w:rPr>
        <w:t xml:space="preserve">, Docente, </w:t>
      </w:r>
      <w:r w:rsidR="002A0814" w:rsidRPr="003E76DF">
        <w:rPr>
          <w:rFonts w:ascii="Calibri" w:hAnsi="Calibri" w:cs="Calibri"/>
          <w:sz w:val="24"/>
          <w:szCs w:val="24"/>
        </w:rPr>
        <w:t>Conocimiento</w:t>
      </w:r>
      <w:r w:rsidRPr="003E76DF">
        <w:rPr>
          <w:rFonts w:ascii="Calibri" w:hAnsi="Calibri" w:cs="Calibri"/>
          <w:sz w:val="24"/>
          <w:szCs w:val="24"/>
        </w:rPr>
        <w:t>, Habilidades</w:t>
      </w:r>
      <w:r w:rsidR="002A0814" w:rsidRPr="003E76DF">
        <w:rPr>
          <w:rFonts w:ascii="Calibri" w:hAnsi="Calibri" w:cs="Calibri"/>
          <w:sz w:val="24"/>
          <w:szCs w:val="24"/>
        </w:rPr>
        <w:t>.</w:t>
      </w:r>
    </w:p>
    <w:p w14:paraId="554B35E4" w14:textId="77777777" w:rsidR="00DD28DE" w:rsidRPr="003E76DF" w:rsidRDefault="00DD28DE" w:rsidP="003E76DF">
      <w:pPr>
        <w:spacing w:after="0" w:line="240" w:lineRule="auto"/>
        <w:ind w:left="708"/>
        <w:jc w:val="both"/>
        <w:rPr>
          <w:rFonts w:ascii="Calibri" w:hAnsi="Calibri" w:cs="Calibri"/>
          <w:sz w:val="24"/>
          <w:szCs w:val="24"/>
        </w:rPr>
      </w:pPr>
    </w:p>
    <w:p w14:paraId="1BBBE7E4" w14:textId="337954B9" w:rsidR="00DD28DE" w:rsidRPr="007D527C" w:rsidRDefault="00DD28DE" w:rsidP="003E76DF">
      <w:pPr>
        <w:spacing w:after="0" w:line="240" w:lineRule="auto"/>
        <w:jc w:val="both"/>
        <w:rPr>
          <w:rFonts w:ascii="Calibri" w:hAnsi="Calibri" w:cs="Calibri"/>
          <w:b/>
          <w:bCs/>
          <w:sz w:val="28"/>
          <w:szCs w:val="28"/>
        </w:rPr>
      </w:pPr>
      <w:proofErr w:type="spellStart"/>
      <w:r w:rsidRPr="007D527C">
        <w:rPr>
          <w:rFonts w:ascii="Calibri" w:hAnsi="Calibri" w:cs="Calibri"/>
          <w:b/>
          <w:bCs/>
          <w:sz w:val="28"/>
          <w:szCs w:val="28"/>
        </w:rPr>
        <w:t>A</w:t>
      </w:r>
      <w:r w:rsidR="003E76DF" w:rsidRPr="007D527C">
        <w:rPr>
          <w:rFonts w:ascii="Calibri" w:hAnsi="Calibri" w:cs="Calibri"/>
          <w:b/>
          <w:bCs/>
          <w:sz w:val="28"/>
          <w:szCs w:val="28"/>
        </w:rPr>
        <w:t>bstract</w:t>
      </w:r>
      <w:proofErr w:type="spellEnd"/>
    </w:p>
    <w:p w14:paraId="28C0DAF4" w14:textId="69A6E138" w:rsidR="00CA663A" w:rsidRDefault="00CA663A" w:rsidP="003E76DF">
      <w:pPr>
        <w:spacing w:after="0" w:line="240" w:lineRule="auto"/>
        <w:jc w:val="both"/>
        <w:rPr>
          <w:rFonts w:ascii="Calibri" w:hAnsi="Calibri" w:cs="Calibri"/>
          <w:sz w:val="24"/>
          <w:szCs w:val="24"/>
        </w:rPr>
      </w:pPr>
      <w:proofErr w:type="spellStart"/>
      <w:r w:rsidRPr="003E76DF">
        <w:rPr>
          <w:rFonts w:ascii="Calibri" w:hAnsi="Calibri" w:cs="Calibri"/>
          <w:sz w:val="24"/>
          <w:szCs w:val="24"/>
        </w:rPr>
        <w:t>Learning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environments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not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only</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facilitate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transmission</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knowledge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but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also</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enhance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educational</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experience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by</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making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it</w:t>
      </w:r>
      <w:proofErr w:type="spellEnd"/>
      <w:r w:rsidRPr="003E76DF">
        <w:rPr>
          <w:rFonts w:ascii="Calibri" w:hAnsi="Calibri" w:cs="Calibri"/>
          <w:sz w:val="24"/>
          <w:szCs w:val="24"/>
        </w:rPr>
        <w:t xml:space="preserve"> more </w:t>
      </w:r>
      <w:proofErr w:type="spellStart"/>
      <w:r w:rsidRPr="003E76DF">
        <w:rPr>
          <w:rFonts w:ascii="Calibri" w:hAnsi="Calibri" w:cs="Calibri"/>
          <w:sz w:val="24"/>
          <w:szCs w:val="24"/>
        </w:rPr>
        <w:t>dynamic</w:t>
      </w:r>
      <w:proofErr w:type="spellEnd"/>
      <w:r w:rsidRPr="003E76DF">
        <w:rPr>
          <w:rFonts w:ascii="Calibri" w:hAnsi="Calibri" w:cs="Calibri"/>
          <w:sz w:val="24"/>
          <w:szCs w:val="24"/>
        </w:rPr>
        <w:t xml:space="preserve">, inclusive and </w:t>
      </w:r>
      <w:proofErr w:type="spellStart"/>
      <w:r w:rsidRPr="003E76DF">
        <w:rPr>
          <w:rFonts w:ascii="Calibri" w:hAnsi="Calibri" w:cs="Calibri"/>
          <w:sz w:val="24"/>
          <w:szCs w:val="24"/>
        </w:rPr>
        <w:t>oriented</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towards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comprehensive </w:t>
      </w:r>
      <w:proofErr w:type="spellStart"/>
      <w:r w:rsidRPr="003E76DF">
        <w:rPr>
          <w:rFonts w:ascii="Calibri" w:hAnsi="Calibri" w:cs="Calibri"/>
          <w:sz w:val="24"/>
          <w:szCs w:val="24"/>
        </w:rPr>
        <w:t>development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students</w:t>
      </w:r>
      <w:proofErr w:type="spellEnd"/>
      <w:r w:rsidRPr="003E76DF">
        <w:rPr>
          <w:rFonts w:ascii="Calibri" w:hAnsi="Calibri" w:cs="Calibri"/>
          <w:sz w:val="24"/>
          <w:szCs w:val="24"/>
        </w:rPr>
        <w:t>.</w:t>
      </w:r>
      <w:r w:rsidR="00410049" w:rsidRPr="003E76DF">
        <w:rPr>
          <w:rFonts w:ascii="Calibri" w:hAnsi="Calibri" w:cs="Calibri"/>
          <w:sz w:val="24"/>
          <w:szCs w:val="24"/>
        </w:rPr>
        <w:t xml:space="preserve"> </w:t>
      </w:r>
      <w:r w:rsidRPr="003E76DF">
        <w:rPr>
          <w:rFonts w:ascii="Calibri" w:hAnsi="Calibri" w:cs="Calibri"/>
          <w:sz w:val="24"/>
          <w:szCs w:val="24"/>
        </w:rPr>
        <w:t xml:space="preserve">The </w:t>
      </w:r>
      <w:proofErr w:type="spellStart"/>
      <w:r w:rsidRPr="003E76DF">
        <w:rPr>
          <w:rFonts w:ascii="Calibri" w:hAnsi="Calibri" w:cs="Calibri"/>
          <w:sz w:val="24"/>
          <w:szCs w:val="24"/>
        </w:rPr>
        <w:t>interest</w:t>
      </w:r>
      <w:proofErr w:type="spellEnd"/>
      <w:r w:rsidRPr="003E76DF">
        <w:rPr>
          <w:rFonts w:ascii="Calibri" w:hAnsi="Calibri" w:cs="Calibri"/>
          <w:sz w:val="24"/>
          <w:szCs w:val="24"/>
        </w:rPr>
        <w:t xml:space="preserve"> in </w:t>
      </w:r>
      <w:proofErr w:type="spellStart"/>
      <w:r w:rsidRPr="003E76DF">
        <w:rPr>
          <w:rFonts w:ascii="Calibri" w:hAnsi="Calibri" w:cs="Calibri"/>
          <w:sz w:val="24"/>
          <w:szCs w:val="24"/>
        </w:rPr>
        <w:t>addressing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topic</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learning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environments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lies</w:t>
      </w:r>
      <w:proofErr w:type="spellEnd"/>
      <w:r w:rsidRPr="003E76DF">
        <w:rPr>
          <w:rFonts w:ascii="Calibri" w:hAnsi="Calibri" w:cs="Calibri"/>
          <w:sz w:val="24"/>
          <w:szCs w:val="24"/>
        </w:rPr>
        <w:t xml:space="preserve"> in </w:t>
      </w:r>
      <w:proofErr w:type="spellStart"/>
      <w:r w:rsidRPr="003E76DF">
        <w:rPr>
          <w:rFonts w:ascii="Calibri" w:hAnsi="Calibri" w:cs="Calibri"/>
          <w:sz w:val="24"/>
          <w:szCs w:val="24"/>
        </w:rPr>
        <w:t>their</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direct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impact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on</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quality</w:t>
      </w:r>
      <w:proofErr w:type="spellEnd"/>
      <w:r w:rsidRPr="003E76DF">
        <w:rPr>
          <w:rFonts w:ascii="Calibri" w:hAnsi="Calibri" w:cs="Calibri"/>
          <w:sz w:val="24"/>
          <w:szCs w:val="24"/>
        </w:rPr>
        <w:t xml:space="preserve"> and </w:t>
      </w:r>
      <w:proofErr w:type="spellStart"/>
      <w:r w:rsidRPr="003E76DF">
        <w:rPr>
          <w:rFonts w:ascii="Calibri" w:hAnsi="Calibri" w:cs="Calibri"/>
          <w:sz w:val="24"/>
          <w:szCs w:val="24"/>
        </w:rPr>
        <w:t>effectiveness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education</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understanding</w:t>
      </w:r>
      <w:proofErr w:type="spellEnd"/>
      <w:r w:rsidRPr="003E76DF">
        <w:rPr>
          <w:rFonts w:ascii="Calibri" w:hAnsi="Calibri" w:cs="Calibri"/>
          <w:sz w:val="24"/>
          <w:szCs w:val="24"/>
        </w:rPr>
        <w:t xml:space="preserve"> and </w:t>
      </w:r>
      <w:proofErr w:type="spellStart"/>
      <w:r w:rsidRPr="003E76DF">
        <w:rPr>
          <w:rFonts w:ascii="Calibri" w:hAnsi="Calibri" w:cs="Calibri"/>
          <w:sz w:val="24"/>
          <w:szCs w:val="24"/>
        </w:rPr>
        <w:t>improving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these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environments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allows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educators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institutions</w:t>
      </w:r>
      <w:proofErr w:type="spellEnd"/>
      <w:r w:rsidRPr="003E76DF">
        <w:rPr>
          <w:rFonts w:ascii="Calibri" w:hAnsi="Calibri" w:cs="Calibri"/>
          <w:sz w:val="24"/>
          <w:szCs w:val="24"/>
        </w:rPr>
        <w:t xml:space="preserve"> and </w:t>
      </w:r>
      <w:proofErr w:type="spellStart"/>
      <w:r w:rsidRPr="003E76DF">
        <w:rPr>
          <w:rFonts w:ascii="Calibri" w:hAnsi="Calibri" w:cs="Calibri"/>
          <w:sz w:val="24"/>
          <w:szCs w:val="24"/>
        </w:rPr>
        <w:t>students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to</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maximize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potential</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teaching-learning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process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adapting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it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to</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demands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of</w:t>
      </w:r>
      <w:proofErr w:type="spellEnd"/>
      <w:r w:rsidRPr="003E76DF">
        <w:rPr>
          <w:rFonts w:ascii="Calibri" w:hAnsi="Calibri" w:cs="Calibri"/>
          <w:sz w:val="24"/>
          <w:szCs w:val="24"/>
        </w:rPr>
        <w:t xml:space="preserve"> a </w:t>
      </w:r>
      <w:proofErr w:type="spellStart"/>
      <w:r w:rsidRPr="003E76DF">
        <w:rPr>
          <w:rFonts w:ascii="Calibri" w:hAnsi="Calibri" w:cs="Calibri"/>
          <w:sz w:val="24"/>
          <w:szCs w:val="24"/>
        </w:rPr>
        <w:t>constantly</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changing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world</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not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only</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transmitting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knowledge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but</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also</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preparing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students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for</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life's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challenges</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fostering</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their</w:t>
      </w:r>
      <w:proofErr w:type="spellEnd"/>
      <w:r w:rsidRPr="003E76DF">
        <w:rPr>
          <w:rFonts w:ascii="Calibri" w:hAnsi="Calibri" w:cs="Calibri"/>
          <w:sz w:val="24"/>
          <w:szCs w:val="24"/>
        </w:rPr>
        <w:t xml:space="preserve"> personal and </w:t>
      </w:r>
      <w:proofErr w:type="spellStart"/>
      <w:r w:rsidRPr="003E76DF">
        <w:rPr>
          <w:rFonts w:ascii="Calibri" w:hAnsi="Calibri" w:cs="Calibri"/>
          <w:sz w:val="24"/>
          <w:szCs w:val="24"/>
        </w:rPr>
        <w:t>academic</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growth</w:t>
      </w:r>
      <w:proofErr w:type="spellEnd"/>
      <w:r w:rsidRPr="003E76DF">
        <w:rPr>
          <w:rFonts w:ascii="Calibri" w:hAnsi="Calibri" w:cs="Calibri"/>
          <w:sz w:val="24"/>
          <w:szCs w:val="24"/>
        </w:rPr>
        <w:t xml:space="preserve"> in </w:t>
      </w:r>
      <w:proofErr w:type="spellStart"/>
      <w:r w:rsidRPr="003E76DF">
        <w:rPr>
          <w:rFonts w:ascii="Calibri" w:hAnsi="Calibri" w:cs="Calibri"/>
          <w:sz w:val="24"/>
          <w:szCs w:val="24"/>
        </w:rPr>
        <w:t>an</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appropriate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dynamic</w:t>
      </w:r>
      <w:proofErr w:type="spellEnd"/>
      <w:r w:rsidRPr="003E76DF">
        <w:rPr>
          <w:rFonts w:ascii="Calibri" w:hAnsi="Calibri" w:cs="Calibri"/>
          <w:sz w:val="24"/>
          <w:szCs w:val="24"/>
        </w:rPr>
        <w:t xml:space="preserve"> and </w:t>
      </w:r>
      <w:proofErr w:type="spellStart"/>
      <w:r w:rsidRPr="003E76DF">
        <w:rPr>
          <w:rFonts w:ascii="Calibri" w:hAnsi="Calibri" w:cs="Calibri"/>
          <w:sz w:val="24"/>
          <w:szCs w:val="24"/>
        </w:rPr>
        <w:t>accessible</w:t>
      </w:r>
      <w:proofErr w:type="spellEnd"/>
      <w:r w:rsidRPr="003E76DF">
        <w:rPr>
          <w:rFonts w:ascii="Calibri" w:hAnsi="Calibri" w:cs="Calibri"/>
          <w:sz w:val="24"/>
          <w:szCs w:val="24"/>
        </w:rPr>
        <w:t xml:space="preserve"> </w:t>
      </w:r>
      <w:proofErr w:type="spellStart"/>
      <w:r w:rsidRPr="003E76DF">
        <w:rPr>
          <w:rFonts w:ascii="Calibri" w:hAnsi="Calibri" w:cs="Calibri"/>
          <w:sz w:val="24"/>
          <w:szCs w:val="24"/>
        </w:rPr>
        <w:t>environment</w:t>
      </w:r>
      <w:proofErr w:type="spellEnd"/>
      <w:r w:rsidRPr="003E76DF">
        <w:rPr>
          <w:rFonts w:ascii="Calibri" w:hAnsi="Calibri" w:cs="Calibri"/>
          <w:sz w:val="24"/>
          <w:szCs w:val="24"/>
        </w:rPr>
        <w:t>.</w:t>
      </w:r>
    </w:p>
    <w:p w14:paraId="28B3EFB9" w14:textId="77777777" w:rsidR="003E76DF" w:rsidRPr="003E76DF" w:rsidRDefault="003E76DF" w:rsidP="003E76DF">
      <w:pPr>
        <w:spacing w:after="0" w:line="240" w:lineRule="auto"/>
        <w:jc w:val="both"/>
        <w:rPr>
          <w:rFonts w:ascii="Calibri" w:hAnsi="Calibri" w:cs="Calibri"/>
          <w:sz w:val="24"/>
          <w:szCs w:val="24"/>
        </w:rPr>
      </w:pPr>
    </w:p>
    <w:p w14:paraId="31F22B5A" w14:textId="77777777" w:rsidR="003E76DF" w:rsidRDefault="00DD28DE" w:rsidP="003E76DF">
      <w:pPr>
        <w:spacing w:after="0" w:line="240" w:lineRule="auto"/>
        <w:jc w:val="both"/>
        <w:rPr>
          <w:rFonts w:ascii="Calibri" w:hAnsi="Calibri" w:cs="Calibri"/>
          <w:sz w:val="24"/>
          <w:szCs w:val="24"/>
        </w:rPr>
      </w:pPr>
      <w:r w:rsidRPr="007D527C">
        <w:rPr>
          <w:rFonts w:ascii="Calibri" w:hAnsi="Calibri" w:cs="Calibri"/>
          <w:b/>
          <w:bCs/>
          <w:sz w:val="28"/>
          <w:szCs w:val="28"/>
        </w:rPr>
        <w:t>K</w:t>
      </w:r>
      <w:r w:rsidR="003E76DF" w:rsidRPr="007D527C">
        <w:rPr>
          <w:rFonts w:ascii="Calibri" w:hAnsi="Calibri" w:cs="Calibri"/>
          <w:b/>
          <w:bCs/>
          <w:sz w:val="28"/>
          <w:szCs w:val="28"/>
        </w:rPr>
        <w:t xml:space="preserve">ey </w:t>
      </w:r>
      <w:proofErr w:type="spellStart"/>
      <w:r w:rsidR="003E76DF" w:rsidRPr="007D527C">
        <w:rPr>
          <w:rFonts w:ascii="Calibri" w:hAnsi="Calibri" w:cs="Calibri"/>
          <w:b/>
          <w:bCs/>
          <w:sz w:val="28"/>
          <w:szCs w:val="28"/>
        </w:rPr>
        <w:t>words</w:t>
      </w:r>
      <w:proofErr w:type="spellEnd"/>
      <w:r w:rsidRPr="003E76DF">
        <w:rPr>
          <w:rFonts w:ascii="Calibri" w:hAnsi="Calibri" w:cs="Calibri"/>
          <w:sz w:val="24"/>
          <w:szCs w:val="24"/>
        </w:rPr>
        <w:t xml:space="preserve">: </w:t>
      </w:r>
      <w:proofErr w:type="spellStart"/>
      <w:r w:rsidR="002A0814" w:rsidRPr="003E76DF">
        <w:rPr>
          <w:rFonts w:ascii="Calibri" w:hAnsi="Calibri" w:cs="Calibri"/>
          <w:sz w:val="24"/>
          <w:szCs w:val="24"/>
        </w:rPr>
        <w:t>Education</w:t>
      </w:r>
      <w:proofErr w:type="spellEnd"/>
      <w:r w:rsidR="002A0814" w:rsidRPr="003E76DF">
        <w:rPr>
          <w:rFonts w:ascii="Calibri" w:hAnsi="Calibri" w:cs="Calibri"/>
          <w:sz w:val="24"/>
          <w:szCs w:val="24"/>
        </w:rPr>
        <w:t xml:space="preserve">, </w:t>
      </w:r>
      <w:proofErr w:type="spellStart"/>
      <w:r w:rsidR="002A0814" w:rsidRPr="003E76DF">
        <w:rPr>
          <w:rFonts w:ascii="Calibri" w:hAnsi="Calibri" w:cs="Calibri"/>
          <w:sz w:val="24"/>
          <w:szCs w:val="24"/>
        </w:rPr>
        <w:t>Society</w:t>
      </w:r>
      <w:proofErr w:type="spellEnd"/>
      <w:r w:rsidR="002A0814" w:rsidRPr="003E76DF">
        <w:rPr>
          <w:rFonts w:ascii="Calibri" w:hAnsi="Calibri" w:cs="Calibri"/>
          <w:sz w:val="24"/>
          <w:szCs w:val="24"/>
        </w:rPr>
        <w:t xml:space="preserve">, Teacher, Knowledge, </w:t>
      </w:r>
      <w:proofErr w:type="spellStart"/>
      <w:r w:rsidR="002A0814" w:rsidRPr="003E76DF">
        <w:rPr>
          <w:rFonts w:ascii="Calibri" w:hAnsi="Calibri" w:cs="Calibri"/>
          <w:sz w:val="24"/>
          <w:szCs w:val="24"/>
        </w:rPr>
        <w:t>Skills</w:t>
      </w:r>
      <w:proofErr w:type="spellEnd"/>
      <w:r w:rsidR="002A0814" w:rsidRPr="003E76DF">
        <w:rPr>
          <w:rFonts w:ascii="Calibri" w:hAnsi="Calibri" w:cs="Calibri"/>
          <w:sz w:val="24"/>
          <w:szCs w:val="24"/>
        </w:rPr>
        <w:t>.</w:t>
      </w:r>
    </w:p>
    <w:p w14:paraId="70B88D31" w14:textId="77777777" w:rsidR="003E76DF" w:rsidRDefault="003E76DF" w:rsidP="003E76DF">
      <w:pPr>
        <w:spacing w:after="0" w:line="240" w:lineRule="auto"/>
        <w:jc w:val="both"/>
        <w:rPr>
          <w:rFonts w:ascii="Calibri" w:hAnsi="Calibri" w:cs="Calibri"/>
          <w:sz w:val="24"/>
          <w:szCs w:val="24"/>
        </w:rPr>
      </w:pPr>
    </w:p>
    <w:p w14:paraId="7A0FB588" w14:textId="3275EAAC" w:rsidR="00DD68A7" w:rsidRPr="007D527C" w:rsidRDefault="003E76DF" w:rsidP="003E76DF">
      <w:pPr>
        <w:spacing w:after="0" w:line="240" w:lineRule="auto"/>
        <w:jc w:val="both"/>
        <w:rPr>
          <w:rFonts w:ascii="Calibri" w:hAnsi="Calibri" w:cs="Calibri"/>
          <w:b/>
          <w:bCs/>
          <w:sz w:val="32"/>
          <w:szCs w:val="32"/>
        </w:rPr>
      </w:pPr>
      <w:r w:rsidRPr="003E76DF">
        <w:rPr>
          <w:rFonts w:ascii="Calibri" w:hAnsi="Calibri" w:cs="Calibri"/>
          <w:b/>
          <w:bCs/>
          <w:sz w:val="24"/>
          <w:szCs w:val="24"/>
        </w:rPr>
        <w:t xml:space="preserve"> </w:t>
      </w:r>
    </w:p>
    <w:p w14:paraId="4B06E1FA" w14:textId="67FFA1DF" w:rsidR="00752F57" w:rsidRPr="007D527C" w:rsidRDefault="00752F57" w:rsidP="003E76DF">
      <w:pPr>
        <w:spacing w:after="0" w:line="240" w:lineRule="auto"/>
        <w:jc w:val="center"/>
        <w:rPr>
          <w:rFonts w:ascii="Calibri" w:hAnsi="Calibri" w:cs="Calibri"/>
          <w:b/>
          <w:bCs/>
          <w:color w:val="333333"/>
          <w:sz w:val="32"/>
          <w:szCs w:val="32"/>
          <w:shd w:val="clear" w:color="auto" w:fill="FFFFFF"/>
        </w:rPr>
      </w:pPr>
      <w:r w:rsidRPr="007D527C">
        <w:rPr>
          <w:rFonts w:ascii="Calibri" w:hAnsi="Calibri" w:cs="Calibri"/>
          <w:b/>
          <w:bCs/>
          <w:sz w:val="32"/>
          <w:szCs w:val="32"/>
        </w:rPr>
        <w:t>I</w:t>
      </w:r>
      <w:r w:rsidR="003E76DF" w:rsidRPr="007D527C">
        <w:rPr>
          <w:rFonts w:ascii="Calibri" w:hAnsi="Calibri" w:cs="Calibri"/>
          <w:b/>
          <w:bCs/>
          <w:sz w:val="32"/>
          <w:szCs w:val="32"/>
        </w:rPr>
        <w:t>ntroducción</w:t>
      </w:r>
    </w:p>
    <w:p w14:paraId="49A91CC7" w14:textId="77777777" w:rsidR="009E4136" w:rsidRDefault="009E4136" w:rsidP="003E76DF">
      <w:pPr>
        <w:spacing w:after="0" w:line="240" w:lineRule="auto"/>
        <w:ind w:firstLine="708"/>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lastRenderedPageBreak/>
        <w:t>Uno de los principales retos que enfrenta la sociedad contemporánea es la mejora continua de la calidad educativa, especialmente ante la necesidad de una educación que forme a estudiantes capaces de responder de manera crítica y autónoma a las complejidades del mundo actual. Este compromiso, tanto de los educadores como de las instituciones educativas, implica una transformación que no se restringe a la mera transferencia de conocimientos, sino que también abarca el desarrollo de habilidades para el pensamiento crítico y la capacidad de resolver problemas significativos. (Pérez &amp; Rodríguez, 2020). Como destacan estos autores, la educación debe transitar hacia un modelo que sitúe a los estudiantes en el centro de su propio proceso de aprendizaje, brindándoles oportunidades para investigar, cuestionar y construir soluciones que enriquezcan sus ideas y favorezcan una comprensión profunda y contextualizada.</w:t>
      </w:r>
    </w:p>
    <w:p w14:paraId="223631BD" w14:textId="77777777" w:rsidR="00447209" w:rsidRPr="003E76DF" w:rsidRDefault="00447209" w:rsidP="003E76DF">
      <w:pPr>
        <w:spacing w:after="0" w:line="240" w:lineRule="auto"/>
        <w:ind w:firstLine="708"/>
        <w:jc w:val="both"/>
        <w:rPr>
          <w:rFonts w:ascii="Calibri" w:hAnsi="Calibri" w:cs="Calibri"/>
          <w:color w:val="333333"/>
          <w:sz w:val="24"/>
          <w:szCs w:val="24"/>
          <w:shd w:val="clear" w:color="auto" w:fill="FFFFFF"/>
        </w:rPr>
      </w:pPr>
    </w:p>
    <w:p w14:paraId="77C1C8B2" w14:textId="77777777" w:rsidR="009E4136"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En este sentido, la creación de entornos de aprendizaje adecuados resulta indispensable. Medina y Larios (2019) señalan que ambientes educativos debidamente estructurados y enriquecidos ofrecen condiciones favorables para el desarrollo integral de los estudiantes, estimulando tanto sus competencias cognitivas como sus habilidades socioemocionales. Dichos entornos no solo promueven la asimilación de conocimientos, sino que impulsan la motivación, el cuestionamiento y la reflexión desde una perspectiva conectada con las experiencias y realidades de los estudiantes (Ruiz, 2018). Escobar (2017) subraya que un ambiente de aprendizaje propicio proporciona a los estudiantes un marco en el cual pueden explorar y aplicar lo aprendido en contextos significativos, impulsando así el desarrollo de competencias útiles en los ámbitos académico, profesional y personal.</w:t>
      </w:r>
    </w:p>
    <w:p w14:paraId="5F15DB46" w14:textId="77777777" w:rsidR="003E76DF" w:rsidRPr="003E76DF" w:rsidRDefault="003E76DF" w:rsidP="003E76DF">
      <w:pPr>
        <w:spacing w:after="0" w:line="240" w:lineRule="auto"/>
        <w:jc w:val="both"/>
        <w:rPr>
          <w:rFonts w:ascii="Calibri" w:hAnsi="Calibri" w:cs="Calibri"/>
          <w:color w:val="333333"/>
          <w:sz w:val="24"/>
          <w:szCs w:val="24"/>
          <w:shd w:val="clear" w:color="auto" w:fill="FFFFFF"/>
        </w:rPr>
      </w:pPr>
    </w:p>
    <w:p w14:paraId="2D6086E9" w14:textId="77777777" w:rsidR="009E4136"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 xml:space="preserve">La implementación de estos ambientes educativos, sin embargo, demanda una estructura pedagógica flexible y colaborativa. Como apuntan Márquez y Díaz (2021), En estos contextos, los docentes deben actuar como guías y facilitadores, incentivando en los estudiantes la autonomía en la toma de decisiones y la capacidad de ajustarse a diferentes situaciones y entornos. </w:t>
      </w:r>
    </w:p>
    <w:p w14:paraId="194DF700" w14:textId="77777777" w:rsidR="003E76DF" w:rsidRPr="003E76DF" w:rsidRDefault="003E76DF" w:rsidP="003E76DF">
      <w:pPr>
        <w:spacing w:after="0" w:line="240" w:lineRule="auto"/>
        <w:jc w:val="both"/>
        <w:rPr>
          <w:rFonts w:ascii="Calibri" w:hAnsi="Calibri" w:cs="Calibri"/>
          <w:color w:val="333333"/>
          <w:sz w:val="24"/>
          <w:szCs w:val="24"/>
          <w:shd w:val="clear" w:color="auto" w:fill="FFFFFF"/>
        </w:rPr>
      </w:pPr>
    </w:p>
    <w:p w14:paraId="603D3CAA" w14:textId="38EDB625" w:rsidR="009E4136" w:rsidRPr="003E76DF"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Este enfoque flexible no solo incentiva una participación en el proceso de aprendizaje, sino que también facilita el desarrollo de competencias necesarias para abordar los desafíos que presenta un mundo en constante evolución. De este modo, se prepara a los estudiantes para que se integren y realicen contribuciones positivas en sus respectivos entornos sociales y profesionales.</w:t>
      </w:r>
    </w:p>
    <w:p w14:paraId="67644DA6" w14:textId="77777777" w:rsidR="007935B8" w:rsidRPr="003E76DF" w:rsidRDefault="007935B8" w:rsidP="003E76DF">
      <w:pPr>
        <w:spacing w:after="0" w:line="240" w:lineRule="auto"/>
        <w:ind w:left="708"/>
        <w:jc w:val="both"/>
        <w:rPr>
          <w:rFonts w:ascii="Calibri" w:hAnsi="Calibri" w:cs="Calibri"/>
          <w:b/>
          <w:bCs/>
          <w:color w:val="333333"/>
          <w:sz w:val="24"/>
          <w:szCs w:val="24"/>
          <w:shd w:val="clear" w:color="auto" w:fill="FFFFFF"/>
        </w:rPr>
      </w:pPr>
    </w:p>
    <w:p w14:paraId="2B2C73AC" w14:textId="090B028C" w:rsidR="00B77128" w:rsidRPr="007D527C" w:rsidRDefault="00B77128" w:rsidP="003E76DF">
      <w:pPr>
        <w:spacing w:after="0" w:line="240" w:lineRule="auto"/>
        <w:ind w:left="708"/>
        <w:jc w:val="center"/>
        <w:rPr>
          <w:rFonts w:ascii="Calibri" w:hAnsi="Calibri" w:cs="Calibri"/>
          <w:b/>
          <w:bCs/>
          <w:color w:val="333333"/>
          <w:sz w:val="28"/>
          <w:szCs w:val="28"/>
          <w:shd w:val="clear" w:color="auto" w:fill="FFFFFF"/>
        </w:rPr>
      </w:pPr>
      <w:r w:rsidRPr="007D527C">
        <w:rPr>
          <w:rFonts w:ascii="Calibri" w:hAnsi="Calibri" w:cs="Calibri"/>
          <w:b/>
          <w:bCs/>
          <w:color w:val="333333"/>
          <w:sz w:val="28"/>
          <w:szCs w:val="28"/>
          <w:shd w:val="clear" w:color="auto" w:fill="FFFFFF"/>
        </w:rPr>
        <w:t>O</w:t>
      </w:r>
      <w:r w:rsidR="003E76DF" w:rsidRPr="007D527C">
        <w:rPr>
          <w:rFonts w:ascii="Calibri" w:hAnsi="Calibri" w:cs="Calibri"/>
          <w:b/>
          <w:bCs/>
          <w:color w:val="333333"/>
          <w:sz w:val="28"/>
          <w:szCs w:val="28"/>
          <w:shd w:val="clear" w:color="auto" w:fill="FFFFFF"/>
        </w:rPr>
        <w:t>bjetivo</w:t>
      </w:r>
    </w:p>
    <w:p w14:paraId="6C4F3E7F" w14:textId="77777777" w:rsidR="009E4136" w:rsidRPr="003E76DF" w:rsidRDefault="009E4136" w:rsidP="003E76DF">
      <w:pPr>
        <w:spacing w:after="0" w:line="240" w:lineRule="auto"/>
        <w:ind w:firstLine="708"/>
        <w:jc w:val="both"/>
        <w:rPr>
          <w:rFonts w:ascii="Calibri" w:hAnsi="Calibri" w:cs="Calibri"/>
          <w:b/>
          <w:bCs/>
          <w:color w:val="333333"/>
          <w:sz w:val="24"/>
          <w:szCs w:val="24"/>
          <w:shd w:val="clear" w:color="auto" w:fill="FFFFFF"/>
        </w:rPr>
      </w:pPr>
      <w:r w:rsidRPr="003E76DF">
        <w:rPr>
          <w:rFonts w:ascii="Calibri" w:eastAsia="Times New Roman" w:hAnsi="Calibri" w:cs="Calibri"/>
          <w:color w:val="000000"/>
          <w:sz w:val="24"/>
          <w:szCs w:val="24"/>
          <w:lang w:eastAsia="es-MX"/>
        </w:rPr>
        <w:t>El profesor contribuirá al desarrollo de habilidades intelectuales fundamentales en sus estudiantes, incluyendo la atención, la retención de información, el análisis y la abstracción.</w:t>
      </w:r>
    </w:p>
    <w:p w14:paraId="37581297" w14:textId="77777777" w:rsidR="00A91BAE" w:rsidRPr="003E76DF" w:rsidRDefault="00A91BAE" w:rsidP="003E76DF">
      <w:pPr>
        <w:spacing w:after="0" w:line="240" w:lineRule="auto"/>
        <w:ind w:left="708"/>
        <w:jc w:val="both"/>
        <w:rPr>
          <w:rFonts w:ascii="Calibri" w:hAnsi="Calibri" w:cs="Calibri"/>
          <w:b/>
          <w:bCs/>
          <w:color w:val="333333"/>
          <w:sz w:val="24"/>
          <w:szCs w:val="24"/>
          <w:shd w:val="clear" w:color="auto" w:fill="FFFFFF"/>
        </w:rPr>
      </w:pPr>
    </w:p>
    <w:p w14:paraId="35924523" w14:textId="542C236A" w:rsidR="00B77128" w:rsidRPr="007D527C" w:rsidRDefault="00B77128" w:rsidP="003E76DF">
      <w:pPr>
        <w:spacing w:after="0" w:line="240" w:lineRule="auto"/>
        <w:ind w:left="708"/>
        <w:jc w:val="center"/>
        <w:rPr>
          <w:rFonts w:ascii="Calibri" w:hAnsi="Calibri" w:cs="Calibri"/>
          <w:b/>
          <w:bCs/>
          <w:color w:val="333333"/>
          <w:sz w:val="28"/>
          <w:szCs w:val="28"/>
          <w:shd w:val="clear" w:color="auto" w:fill="FFFFFF"/>
        </w:rPr>
      </w:pPr>
      <w:r w:rsidRPr="007D527C">
        <w:rPr>
          <w:rFonts w:ascii="Calibri" w:hAnsi="Calibri" w:cs="Calibri"/>
          <w:b/>
          <w:bCs/>
          <w:color w:val="333333"/>
          <w:sz w:val="28"/>
          <w:szCs w:val="28"/>
          <w:shd w:val="clear" w:color="auto" w:fill="FFFFFF"/>
        </w:rPr>
        <w:t>J</w:t>
      </w:r>
      <w:r w:rsidR="003E76DF" w:rsidRPr="007D527C">
        <w:rPr>
          <w:rFonts w:ascii="Calibri" w:hAnsi="Calibri" w:cs="Calibri"/>
          <w:b/>
          <w:bCs/>
          <w:color w:val="333333"/>
          <w:sz w:val="28"/>
          <w:szCs w:val="28"/>
          <w:shd w:val="clear" w:color="auto" w:fill="FFFFFF"/>
        </w:rPr>
        <w:t>ustificación</w:t>
      </w:r>
    </w:p>
    <w:p w14:paraId="719C088F" w14:textId="0028A5DA" w:rsidR="009E4136" w:rsidRDefault="009E4136" w:rsidP="003E76DF">
      <w:pPr>
        <w:spacing w:after="0" w:line="240" w:lineRule="auto"/>
        <w:ind w:firstLine="708"/>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Se propone la implementación de una estrategia didáctica cuyo objetivo principal es capacitar a los estudiantes para que desarrollen aprendizajes fundamentados en los cuatro pilares de la educación: aprender a conocer, aprender a hacer, aprender a ser y aprender a convivir. Esta estrategia se diseñará de manera integral, contemplando la diversidad de estilos de aprendizaje y necesidades individuales de los estudiantes, con el fin de fomentar un ambiente educativo inclusivo y estimulante.</w:t>
      </w:r>
    </w:p>
    <w:p w14:paraId="055AC7B1" w14:textId="77777777" w:rsidR="003E76DF" w:rsidRPr="003E76DF" w:rsidRDefault="003E76DF" w:rsidP="003E76DF">
      <w:pPr>
        <w:spacing w:after="0" w:line="240" w:lineRule="auto"/>
        <w:ind w:firstLine="708"/>
        <w:jc w:val="both"/>
        <w:rPr>
          <w:rFonts w:ascii="Calibri" w:hAnsi="Calibri" w:cs="Calibri"/>
          <w:color w:val="333333"/>
          <w:sz w:val="24"/>
          <w:szCs w:val="24"/>
          <w:shd w:val="clear" w:color="auto" w:fill="FFFFFF"/>
        </w:rPr>
      </w:pPr>
    </w:p>
    <w:p w14:paraId="0A015747" w14:textId="77777777" w:rsidR="009E4136"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Al centrarse en el pilar de aprender a conocer, se facilitará la adquisición de conocimientos teóricos y prácticos, promoviendo el pensamiento crítico y la curiosidad intelectual. En cuanto al pilar de aprender a hacer, se buscará que los estudiantes apliquen sus conocimientos en situaciones reales, desarrollando habilidades prácticas que les permitan enfrentar desafíos cotidianos.</w:t>
      </w:r>
    </w:p>
    <w:p w14:paraId="7EFA41FA" w14:textId="77777777" w:rsidR="003E76DF" w:rsidRPr="003E76DF" w:rsidRDefault="003E76DF" w:rsidP="003E76DF">
      <w:pPr>
        <w:spacing w:after="0" w:line="240" w:lineRule="auto"/>
        <w:jc w:val="both"/>
        <w:rPr>
          <w:rFonts w:ascii="Calibri" w:hAnsi="Calibri" w:cs="Calibri"/>
          <w:color w:val="333333"/>
          <w:sz w:val="24"/>
          <w:szCs w:val="24"/>
          <w:shd w:val="clear" w:color="auto" w:fill="FFFFFF"/>
        </w:rPr>
      </w:pPr>
    </w:p>
    <w:p w14:paraId="2DBAF099" w14:textId="77777777" w:rsidR="009E4136"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El tercer pilar, aprender a ser, enfatiza la importancia del desarrollo personal y emocional, fomentando la autoevaluación, la reflexión y el crecimiento de la identidad. Esto permitirá a los estudiantes comprender sus valores y principios, así como reconocer su papel en la sociedad. Por último, el pilar de aprender a convivir promoverá la colaboración y el trabajo en equipo, enseñando a los estudiantes a interactuar de manera efectiva con sus compañeros y a resolver conflictos de manera constructiva.</w:t>
      </w:r>
    </w:p>
    <w:p w14:paraId="6BF48E08" w14:textId="77777777" w:rsidR="003E76DF" w:rsidRPr="003E76DF" w:rsidRDefault="003E76DF" w:rsidP="003E76DF">
      <w:pPr>
        <w:spacing w:after="0" w:line="240" w:lineRule="auto"/>
        <w:jc w:val="both"/>
        <w:rPr>
          <w:rFonts w:ascii="Calibri" w:hAnsi="Calibri" w:cs="Calibri"/>
          <w:color w:val="333333"/>
          <w:sz w:val="24"/>
          <w:szCs w:val="24"/>
          <w:shd w:val="clear" w:color="auto" w:fill="FFFFFF"/>
        </w:rPr>
      </w:pPr>
    </w:p>
    <w:p w14:paraId="77ACE955" w14:textId="77777777" w:rsidR="009E4136" w:rsidRPr="003E76DF" w:rsidRDefault="009E4136" w:rsidP="003E76DF">
      <w:pPr>
        <w:spacing w:after="0" w:line="240" w:lineRule="auto"/>
        <w:jc w:val="both"/>
        <w:rPr>
          <w:rFonts w:ascii="Calibri" w:hAnsi="Calibri" w:cs="Calibri"/>
          <w:color w:val="333333"/>
          <w:sz w:val="24"/>
          <w:szCs w:val="24"/>
          <w:shd w:val="clear" w:color="auto" w:fill="FFFFFF"/>
        </w:rPr>
      </w:pPr>
      <w:r w:rsidRPr="003E76DF">
        <w:rPr>
          <w:rFonts w:ascii="Calibri" w:hAnsi="Calibri" w:cs="Calibri"/>
          <w:color w:val="333333"/>
          <w:sz w:val="24"/>
          <w:szCs w:val="24"/>
          <w:shd w:val="clear" w:color="auto" w:fill="FFFFFF"/>
        </w:rPr>
        <w:t>En conjunto, esta estrategia didáctica busca que los alumnos no solo logren un aprendizaje significativo, sino que también se conviertan en individuos autónomos, estratégicos y éticos. Así, se espera que los estudiantes se preparen para afrontar los desafíos del mundo contemporáneo con confianza y responsabilidad, convirtiéndose en ciudadanos comprometidos y capaces de contribuir positivamente a su comunidad.</w:t>
      </w:r>
    </w:p>
    <w:p w14:paraId="284D3667" w14:textId="4818DD5F" w:rsidR="00DD28DE" w:rsidRPr="007D527C" w:rsidRDefault="00DD28DE" w:rsidP="003E76DF">
      <w:pPr>
        <w:spacing w:after="0" w:line="240" w:lineRule="auto"/>
        <w:ind w:left="708"/>
        <w:jc w:val="center"/>
        <w:rPr>
          <w:rFonts w:ascii="Calibri" w:hAnsi="Calibri" w:cs="Calibri"/>
          <w:b/>
          <w:bCs/>
          <w:color w:val="333333"/>
          <w:sz w:val="32"/>
          <w:szCs w:val="32"/>
          <w:shd w:val="clear" w:color="auto" w:fill="FFFFFF"/>
        </w:rPr>
      </w:pPr>
      <w:r w:rsidRPr="007D527C">
        <w:rPr>
          <w:rFonts w:ascii="Calibri" w:hAnsi="Calibri" w:cs="Calibri"/>
          <w:b/>
          <w:bCs/>
          <w:color w:val="333333"/>
          <w:sz w:val="32"/>
          <w:szCs w:val="32"/>
          <w:shd w:val="clear" w:color="auto" w:fill="FFFFFF"/>
        </w:rPr>
        <w:t>M</w:t>
      </w:r>
      <w:r w:rsidR="003E76DF" w:rsidRPr="007D527C">
        <w:rPr>
          <w:rFonts w:ascii="Calibri" w:hAnsi="Calibri" w:cs="Calibri"/>
          <w:b/>
          <w:bCs/>
          <w:color w:val="333333"/>
          <w:sz w:val="32"/>
          <w:szCs w:val="32"/>
          <w:shd w:val="clear" w:color="auto" w:fill="FFFFFF"/>
        </w:rPr>
        <w:t>etodología</w:t>
      </w:r>
    </w:p>
    <w:p w14:paraId="4F6DD118" w14:textId="77777777" w:rsidR="001106D8" w:rsidRDefault="001106D8" w:rsidP="003E76DF">
      <w:pPr>
        <w:pStyle w:val="NormalWeb"/>
        <w:shd w:val="clear" w:color="auto" w:fill="FFFFFF"/>
        <w:spacing w:before="0" w:beforeAutospacing="0" w:after="0" w:afterAutospacing="0"/>
        <w:ind w:firstLine="708"/>
        <w:jc w:val="both"/>
        <w:rPr>
          <w:rFonts w:ascii="Calibri" w:hAnsi="Calibri" w:cs="Calibri"/>
          <w:color w:val="333333"/>
        </w:rPr>
      </w:pPr>
      <w:r w:rsidRPr="003E76DF">
        <w:rPr>
          <w:rFonts w:ascii="Calibri" w:hAnsi="Calibri" w:cs="Calibri"/>
          <w:color w:val="333333"/>
        </w:rPr>
        <w:t xml:space="preserve">En los entornos de aprendizaje, es fundamental considerar no solo la infraestructura, los materiales y los recursos de apoyo, que sin duda son relevantes, sino que la verdadera esencia de estos espacios radica en la iniciativa, la creatividad, la capacidad y la interacción del docente que lidera el proceso de enseñanza-aprendizaje. </w:t>
      </w:r>
    </w:p>
    <w:p w14:paraId="37D0696D" w14:textId="77777777" w:rsidR="003E76DF" w:rsidRPr="003E76DF" w:rsidRDefault="003E76DF" w:rsidP="003E76DF">
      <w:pPr>
        <w:pStyle w:val="NormalWeb"/>
        <w:shd w:val="clear" w:color="auto" w:fill="FFFFFF"/>
        <w:spacing w:before="0" w:beforeAutospacing="0" w:after="0" w:afterAutospacing="0"/>
        <w:ind w:firstLine="708"/>
        <w:jc w:val="both"/>
        <w:rPr>
          <w:rFonts w:ascii="Calibri" w:hAnsi="Calibri" w:cs="Calibri"/>
          <w:color w:val="333333"/>
        </w:rPr>
      </w:pPr>
    </w:p>
    <w:p w14:paraId="42FB76C9" w14:textId="77777777" w:rsidR="001106D8" w:rsidRDefault="001106D8" w:rsidP="003E76DF">
      <w:pPr>
        <w:pStyle w:val="NormalWeb"/>
        <w:shd w:val="clear" w:color="auto" w:fill="FFFFFF"/>
        <w:spacing w:before="0" w:beforeAutospacing="0" w:after="0" w:afterAutospacing="0"/>
        <w:jc w:val="both"/>
        <w:rPr>
          <w:rFonts w:ascii="Calibri" w:hAnsi="Calibri" w:cs="Calibri"/>
          <w:color w:val="333333"/>
        </w:rPr>
      </w:pPr>
      <w:r w:rsidRPr="003E76DF">
        <w:rPr>
          <w:rFonts w:ascii="Calibri" w:hAnsi="Calibri" w:cs="Calibri"/>
          <w:color w:val="333333"/>
        </w:rPr>
        <w:t>Un elemento fundamental para el éxito en el aprendizaje de los estudiantes está vinculado a la correcta selección de los entornos en los que se realizarán las actividades. En este contexto, nuestra función se redefine, ya que asumimos el papel de mediadores que brindan apoyo a los alumnos en el cumplimiento de los objetivos establecidos.</w:t>
      </w:r>
    </w:p>
    <w:p w14:paraId="52268F5B" w14:textId="77777777" w:rsidR="003E76DF" w:rsidRPr="003E76DF" w:rsidRDefault="003E76DF" w:rsidP="003E76DF">
      <w:pPr>
        <w:pStyle w:val="NormalWeb"/>
        <w:shd w:val="clear" w:color="auto" w:fill="FFFFFF"/>
        <w:spacing w:before="0" w:beforeAutospacing="0" w:after="0" w:afterAutospacing="0"/>
        <w:jc w:val="both"/>
        <w:rPr>
          <w:rFonts w:ascii="Calibri" w:hAnsi="Calibri" w:cs="Calibri"/>
          <w:color w:val="333333"/>
        </w:rPr>
      </w:pPr>
    </w:p>
    <w:p w14:paraId="4408DA88" w14:textId="77777777" w:rsidR="001106D8" w:rsidRDefault="001106D8" w:rsidP="003E76DF">
      <w:pPr>
        <w:pStyle w:val="NormalWeb"/>
        <w:shd w:val="clear" w:color="auto" w:fill="FFFFFF"/>
        <w:spacing w:before="0" w:beforeAutospacing="0" w:after="0" w:afterAutospacing="0"/>
        <w:jc w:val="both"/>
        <w:rPr>
          <w:rFonts w:ascii="Calibri" w:hAnsi="Calibri" w:cs="Calibri"/>
          <w:color w:val="333333"/>
        </w:rPr>
      </w:pPr>
      <w:r w:rsidRPr="003E76DF">
        <w:rPr>
          <w:rFonts w:ascii="Calibri" w:hAnsi="Calibri" w:cs="Calibri"/>
          <w:color w:val="333333"/>
        </w:rPr>
        <w:t>Es esencial, por lo tanto, que los docentes actuemos como modelos a seguir para nuestros estudiantes. Nuestra conducta debe estar alineada con las expectativas que tenemos para ellos. Por ejemplo, si establecemos reglas que prohíben el abuso verbal o físico y que limitan los ruidos que interrumpen el trabajo de los demás, nosotros como educadores también debemos adherirnos a esas normas.</w:t>
      </w:r>
    </w:p>
    <w:p w14:paraId="0E17B950" w14:textId="77777777" w:rsidR="003E76DF" w:rsidRPr="003E76DF" w:rsidRDefault="003E76DF" w:rsidP="003E76DF">
      <w:pPr>
        <w:pStyle w:val="NormalWeb"/>
        <w:shd w:val="clear" w:color="auto" w:fill="FFFFFF"/>
        <w:spacing w:before="0" w:beforeAutospacing="0" w:after="0" w:afterAutospacing="0"/>
        <w:jc w:val="both"/>
        <w:rPr>
          <w:rFonts w:ascii="Calibri" w:hAnsi="Calibri" w:cs="Calibri"/>
          <w:color w:val="333333"/>
        </w:rPr>
      </w:pPr>
    </w:p>
    <w:p w14:paraId="22B46142" w14:textId="5211FACF" w:rsidR="001106D8" w:rsidRPr="007D527C" w:rsidRDefault="001106D8" w:rsidP="003E76DF">
      <w:pPr>
        <w:pStyle w:val="NormalWeb"/>
        <w:shd w:val="clear" w:color="auto" w:fill="FFFFFF"/>
        <w:spacing w:before="0" w:beforeAutospacing="0" w:after="0" w:afterAutospacing="0"/>
        <w:jc w:val="center"/>
        <w:rPr>
          <w:rFonts w:ascii="Calibri" w:hAnsi="Calibri" w:cs="Calibri"/>
          <w:b/>
          <w:bCs/>
          <w:color w:val="333333"/>
          <w:sz w:val="28"/>
          <w:szCs w:val="28"/>
        </w:rPr>
      </w:pPr>
      <w:r w:rsidRPr="007D527C">
        <w:rPr>
          <w:rFonts w:ascii="Calibri" w:hAnsi="Calibri" w:cs="Calibri"/>
          <w:b/>
          <w:bCs/>
          <w:color w:val="333333"/>
          <w:sz w:val="28"/>
          <w:szCs w:val="28"/>
        </w:rPr>
        <w:t>D</w:t>
      </w:r>
      <w:r w:rsidR="003E76DF" w:rsidRPr="007D527C">
        <w:rPr>
          <w:rFonts w:ascii="Calibri" w:hAnsi="Calibri" w:cs="Calibri"/>
          <w:b/>
          <w:bCs/>
          <w:color w:val="333333"/>
          <w:sz w:val="28"/>
          <w:szCs w:val="28"/>
        </w:rPr>
        <w:t>esarrollo</w:t>
      </w:r>
    </w:p>
    <w:p w14:paraId="7D03F03F" w14:textId="77777777" w:rsidR="001106D8" w:rsidRDefault="001106D8" w:rsidP="003E76DF">
      <w:pPr>
        <w:spacing w:after="0" w:line="240" w:lineRule="auto"/>
        <w:ind w:firstLine="708"/>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Los estudiantes alcanzan un aprendizaje significativo cuando participan activamente en la exploración y el descubrimiento, utilizando materiales didácticos concretos que capturan su interés. Además, la organización del aula sirve como un recurso pedagógico esencial que respalda la labor de los educadores. Según Bruner (1996), el entorno de aprendizaje debe estar diseñado para facilitar la interacción y la colaboración, fomentando así un ambiente propicio para el aprendizaje.</w:t>
      </w:r>
    </w:p>
    <w:p w14:paraId="3857B1D7" w14:textId="77777777" w:rsidR="003E76DF" w:rsidRPr="003E76DF" w:rsidRDefault="003E76DF" w:rsidP="003E76DF">
      <w:pPr>
        <w:spacing w:after="0" w:line="240" w:lineRule="auto"/>
        <w:ind w:firstLine="708"/>
        <w:jc w:val="both"/>
        <w:rPr>
          <w:rFonts w:ascii="Calibri" w:eastAsia="Times New Roman" w:hAnsi="Calibri" w:cs="Calibri"/>
          <w:color w:val="000000"/>
          <w:sz w:val="24"/>
          <w:szCs w:val="24"/>
          <w:lang w:eastAsia="es-MX"/>
        </w:rPr>
      </w:pPr>
    </w:p>
    <w:p w14:paraId="1B24A7D6"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lastRenderedPageBreak/>
        <w:t>En su práctica diaria, los docentes deben encontrar un equilibrio entre las innovaciones educativas que promueven cambios en el proceso de enseñanza y las metodologías que han demostrado su efectividad a lo largo del tiempo. El ambiente de aprendizaje no es un elemento fijo; se transforma continuamente a medida que los estudiantes interactúan con él. Como argumenta Papert (1980), el aprendizaje se produce en un contexto social y cultural, lo que implica que el entorno educativo también se adapta a las dinámicas del grupo.</w:t>
      </w:r>
    </w:p>
    <w:p w14:paraId="33BD05AD"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68477576" w14:textId="11A1397A"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Según Ausubel (1968), el aprendizaje se basa en la asimilación de nuevos conocimientos en relación con lo que el estudiante ya sabe, lo que resalta la importancia de un ambiente instruccional que permita esta integración. Este proceso de aprendizaje está íntimamente relacionado con la transformación del sujeto, ya que, como sostiene Cerdán (2017), los cambios estructurales en el aprendizaje son fundamentales para el desarrollo del individuo.</w:t>
      </w:r>
    </w:p>
    <w:p w14:paraId="1D17B683"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18721CF7" w14:textId="748471D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La influencia de los medios de comunicación ha alterado la forma en que los ciudadanos adquieren conocimientos. Sin embargo, la institución educativa tradicional enfrenta desafíos para adaptarse plenamente a estas nuevas realidades. Como afirman Scolari y Marín (2013), los ambientes de aprendizaje deben ser dinámicos y flexibles para satisfacer las demandas de una sociedad en continuo cambio.</w:t>
      </w:r>
    </w:p>
    <w:p w14:paraId="7EF5679B" w14:textId="77777777" w:rsidR="00447209" w:rsidRPr="003E76DF" w:rsidRDefault="00447209" w:rsidP="003E76DF">
      <w:pPr>
        <w:spacing w:after="0" w:line="240" w:lineRule="auto"/>
        <w:jc w:val="both"/>
        <w:rPr>
          <w:rFonts w:ascii="Calibri" w:eastAsia="Times New Roman" w:hAnsi="Calibri" w:cs="Calibri"/>
          <w:color w:val="000000"/>
          <w:sz w:val="24"/>
          <w:szCs w:val="24"/>
          <w:lang w:eastAsia="es-MX"/>
        </w:rPr>
      </w:pPr>
    </w:p>
    <w:p w14:paraId="6CCDF530"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En este contexto, es esencial la formación continua de los docentes, lo que les permitirá ofrecer una educación de calidad y preparar a sus estudiantes, quienes son el futuro de la sociedad. Esto implica la creación de materiales didácticos innovadores que proporcionen las condiciones necesarias para que los alumnos puedan problematizar, descubrir, comprender, motivar y asimilar tanto situaciones educativas como aspectos de su vida cotidiana desde su propia perspectiva (Moreno, 2020).</w:t>
      </w:r>
    </w:p>
    <w:p w14:paraId="69FCF015"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34441AE3"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El propósito de estas iniciativas es fomentar entre los estudiantes el hábito de la lectura, la organización clara y coherente de sus ideas, así como la expresión oral y escrita. La implementación efectiva de estos conocimientos se logra cuando las estrategias del docente están centradas en el aprendizaje del alumno, utilizando métodos didácticos que favorezcan dicho proceso. En este sentido, se justifica la creación de una estrategia didáctica para la Unidad de Aprendizaje de Filosofía, donde tanto el docente como el alumno desempeñan roles activos, integrando la enseñanza y el aprendizaje de manera dinámica.</w:t>
      </w:r>
    </w:p>
    <w:p w14:paraId="557C95A9"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33C85866" w14:textId="677C9992" w:rsidR="001106D8" w:rsidRPr="007D527C" w:rsidRDefault="001106D8" w:rsidP="003E76DF">
      <w:pPr>
        <w:spacing w:after="0" w:line="240" w:lineRule="auto"/>
        <w:jc w:val="center"/>
        <w:rPr>
          <w:rFonts w:ascii="Calibri" w:eastAsia="Times New Roman" w:hAnsi="Calibri" w:cs="Calibri"/>
          <w:b/>
          <w:bCs/>
          <w:color w:val="000000"/>
          <w:sz w:val="32"/>
          <w:szCs w:val="32"/>
          <w:lang w:eastAsia="es-MX"/>
        </w:rPr>
      </w:pPr>
      <w:r w:rsidRPr="007D527C">
        <w:rPr>
          <w:rFonts w:ascii="Calibri" w:eastAsia="Times New Roman" w:hAnsi="Calibri" w:cs="Calibri"/>
          <w:b/>
          <w:bCs/>
          <w:color w:val="000000"/>
          <w:sz w:val="32"/>
          <w:szCs w:val="32"/>
          <w:lang w:eastAsia="es-MX"/>
        </w:rPr>
        <w:t>R</w:t>
      </w:r>
      <w:r w:rsidR="003E76DF" w:rsidRPr="007D527C">
        <w:rPr>
          <w:rFonts w:ascii="Calibri" w:eastAsia="Times New Roman" w:hAnsi="Calibri" w:cs="Calibri"/>
          <w:b/>
          <w:bCs/>
          <w:color w:val="000000"/>
          <w:sz w:val="32"/>
          <w:szCs w:val="32"/>
          <w:lang w:eastAsia="es-MX"/>
        </w:rPr>
        <w:t>esultados</w:t>
      </w:r>
    </w:p>
    <w:p w14:paraId="27F4040B" w14:textId="77777777" w:rsidR="001106D8" w:rsidRDefault="001106D8" w:rsidP="003E76DF">
      <w:pPr>
        <w:spacing w:after="0" w:line="240" w:lineRule="auto"/>
        <w:ind w:firstLine="708"/>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Un entorno de aprendizaje positivo se manifiesta de manera inmediata, dado que tanto docentes como estudiantes participan en las actividades con entusiasmo y una actitud proactiva. Esta dinámica no solo fomenta la colaboración y el respeto mutuo, sino que también contribuye de manera significativa al logro de los objetivos educativos. Por ende, es fundamental prestar atención a la creación y mantenimiento de este tipo de ambientes.</w:t>
      </w:r>
    </w:p>
    <w:p w14:paraId="03CC756E" w14:textId="77777777" w:rsidR="003E76DF" w:rsidRPr="003E76DF" w:rsidRDefault="003E76DF" w:rsidP="003E76DF">
      <w:pPr>
        <w:spacing w:after="0" w:line="240" w:lineRule="auto"/>
        <w:ind w:firstLine="708"/>
        <w:jc w:val="both"/>
        <w:rPr>
          <w:rFonts w:ascii="Calibri" w:hAnsi="Calibri" w:cs="Calibri"/>
          <w:color w:val="222222"/>
          <w:sz w:val="24"/>
          <w:szCs w:val="24"/>
          <w:shd w:val="clear" w:color="auto" w:fill="FFFFFF"/>
        </w:rPr>
      </w:pPr>
    </w:p>
    <w:p w14:paraId="574BDC4E" w14:textId="77777777" w:rsidR="001106D8" w:rsidRPr="003E76DF" w:rsidRDefault="001106D8" w:rsidP="003E76DF">
      <w:pPr>
        <w:spacing w:after="0" w:line="240" w:lineRule="auto"/>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 xml:space="preserve">La promoción de un ambiente de aprendizaje adecuado garantiza que los contenidos se asimilen de forma efectiva y en un contexto propicio. Esto facilita un aprendizaje significativo, donde los estudiantes </w:t>
      </w:r>
      <w:r w:rsidRPr="003E76DF">
        <w:rPr>
          <w:rFonts w:ascii="Calibri" w:hAnsi="Calibri" w:cs="Calibri"/>
          <w:color w:val="222222"/>
          <w:sz w:val="24"/>
          <w:szCs w:val="24"/>
          <w:shd w:val="clear" w:color="auto" w:fill="FFFFFF"/>
        </w:rPr>
        <w:lastRenderedPageBreak/>
        <w:t>no solo memorizan información, sino que logran comprender y aplicar los conocimientos adquiridos en diversas situaciones. Un entorno bien estructurado, acompañado de recursos adecuados, puede estimular el pensamiento crítico y la creatividad, habilidades esenciales en el contexto contemporáneo.</w:t>
      </w:r>
    </w:p>
    <w:p w14:paraId="144F9306" w14:textId="77777777" w:rsidR="001106D8" w:rsidRDefault="001106D8" w:rsidP="003E76DF">
      <w:pPr>
        <w:spacing w:after="0" w:line="240" w:lineRule="auto"/>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Los ambientes de aprendizaje que se consideran estimulantes despiertan un interés genuino en los estudiantes, permitiéndoles ver el proceso de enseñanza-aprendizaje no como una simple obligación académica, sino como una experiencia enriquecedora y motivadora. Este cambio de perspectiva es crucial, ya que un estudiante motivado tiende a involucrarse de manera activa en su propio proceso de aprendizaje. Al experimentar entusiasmo por el contenido y el proceso, los alumnos están más inclinados a investigar, formular preguntas y participar en discusiones significativas, lo que enriquece su experiencia educativa.</w:t>
      </w:r>
    </w:p>
    <w:p w14:paraId="03AE7DF3" w14:textId="77777777" w:rsidR="003E76DF" w:rsidRPr="003E76DF" w:rsidRDefault="003E76DF" w:rsidP="003E76DF">
      <w:pPr>
        <w:spacing w:after="0" w:line="240" w:lineRule="auto"/>
        <w:jc w:val="both"/>
        <w:rPr>
          <w:rFonts w:ascii="Calibri" w:hAnsi="Calibri" w:cs="Calibri"/>
          <w:color w:val="222222"/>
          <w:sz w:val="24"/>
          <w:szCs w:val="24"/>
          <w:shd w:val="clear" w:color="auto" w:fill="FFFFFF"/>
        </w:rPr>
      </w:pPr>
    </w:p>
    <w:p w14:paraId="4BC81C3B" w14:textId="77777777" w:rsidR="001106D8" w:rsidRDefault="001106D8" w:rsidP="003E76DF">
      <w:pPr>
        <w:spacing w:after="0" w:line="240" w:lineRule="auto"/>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Este enfoque transforma el aprendizaje en una actividad no solo relevante, sino también significativa, al vincularlo con el placer y las emociones positivas. Cuando los estudiantes asocian el aprendizaje con experiencias gratificantes, se establece una conexión emocional que puede incrementar la retención del conocimiento a largo plazo. Esta conexión no solo mejora su desempeño académico, sino que también contribuye al desarrollo de una actitud positiva hacia el aprendizaje a lo largo de su vida.</w:t>
      </w:r>
    </w:p>
    <w:p w14:paraId="3DBB4141" w14:textId="77777777" w:rsidR="003E76DF" w:rsidRPr="003E76DF" w:rsidRDefault="003E76DF" w:rsidP="003E76DF">
      <w:pPr>
        <w:spacing w:after="0" w:line="240" w:lineRule="auto"/>
        <w:jc w:val="both"/>
        <w:rPr>
          <w:rFonts w:ascii="Calibri" w:hAnsi="Calibri" w:cs="Calibri"/>
          <w:color w:val="222222"/>
          <w:sz w:val="24"/>
          <w:szCs w:val="24"/>
          <w:shd w:val="clear" w:color="auto" w:fill="FFFFFF"/>
        </w:rPr>
      </w:pPr>
    </w:p>
    <w:p w14:paraId="56EFCF1C" w14:textId="77777777" w:rsidR="001106D8" w:rsidRDefault="001106D8" w:rsidP="003E76DF">
      <w:pPr>
        <w:spacing w:after="0" w:line="240" w:lineRule="auto"/>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Además, un ambiente de aprendizaje positivo tiene un impacto notable en la salud mental y emocional de los estudiantes. Al sentirse seguros y respaldados, los alumnos pueden concentrarse con mayor eficacia y desarrollar una mayor resiliencia ante los desafíos. Este bienestar emocional se convierte en un factor clave que impulsa la motivación y la capacidad de los estudiantes para enfrentar la incertidumbre y el estrés.</w:t>
      </w:r>
    </w:p>
    <w:p w14:paraId="0BF1EC1A" w14:textId="77777777" w:rsidR="00447209" w:rsidRPr="003E76DF" w:rsidRDefault="00447209" w:rsidP="003E76DF">
      <w:pPr>
        <w:spacing w:after="0" w:line="240" w:lineRule="auto"/>
        <w:jc w:val="both"/>
        <w:rPr>
          <w:rFonts w:ascii="Calibri" w:hAnsi="Calibri" w:cs="Calibri"/>
          <w:color w:val="222222"/>
          <w:sz w:val="24"/>
          <w:szCs w:val="24"/>
          <w:shd w:val="clear" w:color="auto" w:fill="FFFFFF"/>
        </w:rPr>
      </w:pPr>
    </w:p>
    <w:p w14:paraId="48E9508B" w14:textId="77777777" w:rsidR="001106D8" w:rsidRDefault="001106D8" w:rsidP="003E76DF">
      <w:pPr>
        <w:spacing w:after="0" w:line="240" w:lineRule="auto"/>
        <w:jc w:val="both"/>
        <w:rPr>
          <w:rFonts w:ascii="Calibri" w:hAnsi="Calibri" w:cs="Calibri"/>
          <w:color w:val="222222"/>
          <w:sz w:val="24"/>
          <w:szCs w:val="24"/>
          <w:shd w:val="clear" w:color="auto" w:fill="FFFFFF"/>
        </w:rPr>
      </w:pPr>
      <w:r w:rsidRPr="003E76DF">
        <w:rPr>
          <w:rFonts w:ascii="Calibri" w:hAnsi="Calibri" w:cs="Calibri"/>
          <w:color w:val="222222"/>
          <w:sz w:val="24"/>
          <w:szCs w:val="24"/>
          <w:shd w:val="clear" w:color="auto" w:fill="FFFFFF"/>
        </w:rPr>
        <w:t>Finalmente, la creación de un entorno de aprendizaje favorable no recae exclusivamente en la responsabilidad de los docentes; requiere la colaboración de toda la comunidad educativa, incluidos padres, administradores y otros miembros del personal. Juntos, estos actores pueden edificar un espacio donde todos los estudiantes se sientan valorados, comprendidos y motivados a alcanzar su máximo potencial. En este sentido, el compromiso de todos los involucrados es esencial para garantizar que cada estudiante tenga la oportunidad de prosperar en su proceso educativo.</w:t>
      </w:r>
    </w:p>
    <w:p w14:paraId="01B7A3B7" w14:textId="77777777" w:rsidR="003E76DF" w:rsidRPr="003E76DF" w:rsidRDefault="003E76DF" w:rsidP="003E76DF">
      <w:pPr>
        <w:spacing w:after="0" w:line="240" w:lineRule="auto"/>
        <w:jc w:val="both"/>
        <w:rPr>
          <w:rFonts w:ascii="Calibri" w:hAnsi="Calibri" w:cs="Calibri"/>
          <w:sz w:val="24"/>
          <w:szCs w:val="24"/>
        </w:rPr>
      </w:pPr>
    </w:p>
    <w:p w14:paraId="39C3C980" w14:textId="76270F36" w:rsidR="001106D8" w:rsidRPr="007D527C" w:rsidRDefault="001106D8" w:rsidP="003E76DF">
      <w:pPr>
        <w:spacing w:after="0" w:line="240" w:lineRule="auto"/>
        <w:ind w:left="708"/>
        <w:jc w:val="center"/>
        <w:rPr>
          <w:rFonts w:ascii="Calibri" w:eastAsia="Times New Roman" w:hAnsi="Calibri" w:cs="Calibri"/>
          <w:b/>
          <w:bCs/>
          <w:color w:val="000000"/>
          <w:sz w:val="32"/>
          <w:szCs w:val="32"/>
          <w:lang w:eastAsia="es-MX"/>
        </w:rPr>
      </w:pPr>
      <w:r w:rsidRPr="007D527C">
        <w:rPr>
          <w:rFonts w:ascii="Calibri" w:eastAsia="Times New Roman" w:hAnsi="Calibri" w:cs="Calibri"/>
          <w:b/>
          <w:bCs/>
          <w:color w:val="000000"/>
          <w:sz w:val="32"/>
          <w:szCs w:val="32"/>
          <w:lang w:eastAsia="es-MX"/>
        </w:rPr>
        <w:t>C</w:t>
      </w:r>
      <w:r w:rsidR="003E76DF" w:rsidRPr="007D527C">
        <w:rPr>
          <w:rFonts w:ascii="Calibri" w:eastAsia="Times New Roman" w:hAnsi="Calibri" w:cs="Calibri"/>
          <w:b/>
          <w:bCs/>
          <w:color w:val="000000"/>
          <w:sz w:val="32"/>
          <w:szCs w:val="32"/>
          <w:lang w:eastAsia="es-MX"/>
        </w:rPr>
        <w:t>onclusiones</w:t>
      </w:r>
    </w:p>
    <w:p w14:paraId="271607A5" w14:textId="77777777" w:rsidR="001106D8" w:rsidRDefault="001106D8" w:rsidP="003E76DF">
      <w:pPr>
        <w:spacing w:after="0" w:line="240" w:lineRule="auto"/>
        <w:ind w:firstLine="708"/>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Las sociedades se encuentran en un proceso de evolución constante, lo que exige que los sistemas educativos se adapten a las transformaciones que estas experimentan. Las demandas </w:t>
      </w:r>
      <w:proofErr w:type="spellStart"/>
      <w:r w:rsidRPr="003E76DF">
        <w:rPr>
          <w:rFonts w:ascii="Calibri" w:eastAsia="Times New Roman" w:hAnsi="Calibri" w:cs="Calibri"/>
          <w:color w:val="000000"/>
          <w:sz w:val="24"/>
          <w:szCs w:val="24"/>
          <w:lang w:eastAsia="es-MX"/>
        </w:rPr>
        <w:t>praxiológicas</w:t>
      </w:r>
      <w:proofErr w:type="spellEnd"/>
      <w:r w:rsidRPr="003E76DF">
        <w:rPr>
          <w:rFonts w:ascii="Calibri" w:eastAsia="Times New Roman" w:hAnsi="Calibri" w:cs="Calibri"/>
          <w:color w:val="000000"/>
          <w:sz w:val="24"/>
          <w:szCs w:val="24"/>
          <w:lang w:eastAsia="es-MX"/>
        </w:rPr>
        <w:t xml:space="preserve"> vinculadas a la práctica educativa requieren una serie de cambios continuos, dado que son los contextos sociales los que determinan las necesidades que deben ser atendidas mediante acciones educativas.</w:t>
      </w:r>
    </w:p>
    <w:p w14:paraId="5D26013E" w14:textId="77777777" w:rsidR="003E76DF" w:rsidRPr="003E76DF" w:rsidRDefault="003E76DF" w:rsidP="003E76DF">
      <w:pPr>
        <w:spacing w:after="0" w:line="240" w:lineRule="auto"/>
        <w:ind w:firstLine="708"/>
        <w:jc w:val="both"/>
        <w:rPr>
          <w:rFonts w:ascii="Calibri" w:eastAsia="Times New Roman" w:hAnsi="Calibri" w:cs="Calibri"/>
          <w:color w:val="000000"/>
          <w:sz w:val="24"/>
          <w:szCs w:val="24"/>
          <w:lang w:eastAsia="es-MX"/>
        </w:rPr>
      </w:pPr>
    </w:p>
    <w:p w14:paraId="13301E1C"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Sin embargo, la implementación de cambios en el ámbito educativo no puede reducirse a un enfoque meramente tecnocrático o a una ejecución pragmática. La reforma educativa debe estar guiada por valores fundamentales y tiene como objetivo rediseñar diferentes aspectos de la realidad social a partir de dichos principios.</w:t>
      </w:r>
    </w:p>
    <w:p w14:paraId="30980A57"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37FFD17E"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En consecuencia, las iniciativas de cambio en el sistema educativo se presentan como procesos tecnológicos que se estructuran de manera deliberada con el fin de establecer nuevos enfoques dentro del entorno escolar. Esto puede aplicarse tanto a subsistemas, como el proceso de enseñanza-aprendizaje, como a componentes específicos, tales como la adopción de nuevas metodologías de evaluación o la implementación de modelos organizativos alternativos.</w:t>
      </w:r>
    </w:p>
    <w:p w14:paraId="263BAC22"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3FADA292" w14:textId="77777777"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En este contexto, la figura del docente asume un papel fundamental en la promoción de una educación sin fronteras, que se sustenta en el intercambio de ideas y la comunicación efectiva. </w:t>
      </w:r>
    </w:p>
    <w:p w14:paraId="7F475765" w14:textId="77777777" w:rsidR="003E76DF" w:rsidRPr="003E76DF" w:rsidRDefault="003E76DF" w:rsidP="003E76DF">
      <w:pPr>
        <w:spacing w:after="0" w:line="240" w:lineRule="auto"/>
        <w:jc w:val="both"/>
        <w:rPr>
          <w:rFonts w:ascii="Calibri" w:eastAsia="Times New Roman" w:hAnsi="Calibri" w:cs="Calibri"/>
          <w:color w:val="000000"/>
          <w:sz w:val="24"/>
          <w:szCs w:val="24"/>
          <w:lang w:eastAsia="es-MX"/>
        </w:rPr>
      </w:pPr>
    </w:p>
    <w:p w14:paraId="1FDDD9F3" w14:textId="0342A18C" w:rsidR="001106D8" w:rsidRDefault="001106D8" w:rsidP="003E76DF">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Es crucial que los educadores asuman un compromiso voluntario que no les sea impuesto, el cual debe reflejarse en sus decisiones diarias y en una filosofía de vida que influya en todas sus acciones. La validez de estas decisiones depende de diversos factores, y un docente que posea un sólido sentido de responsabilidad social se preocupa activamente por el desarrollo integral y el bienestar de sus estudiantes. Así, la responsabilidad social se convierte en un compromiso ético y voluntario que debe guiar la práctica docente.</w:t>
      </w:r>
    </w:p>
    <w:p w14:paraId="6AD37A8B" w14:textId="77777777" w:rsidR="003E76DF" w:rsidRDefault="003E76DF" w:rsidP="003E76DF">
      <w:pPr>
        <w:spacing w:after="0" w:line="240" w:lineRule="auto"/>
        <w:jc w:val="both"/>
        <w:rPr>
          <w:rFonts w:ascii="Calibri" w:eastAsia="Times New Roman" w:hAnsi="Calibri" w:cs="Calibri"/>
          <w:color w:val="000000"/>
          <w:sz w:val="24"/>
          <w:szCs w:val="24"/>
          <w:lang w:eastAsia="es-MX"/>
        </w:rPr>
      </w:pPr>
    </w:p>
    <w:p w14:paraId="0345AFEF" w14:textId="77777777" w:rsidR="003E76DF" w:rsidRDefault="003E76DF" w:rsidP="003E76DF">
      <w:pPr>
        <w:spacing w:after="0" w:line="240" w:lineRule="auto"/>
        <w:jc w:val="both"/>
        <w:rPr>
          <w:rFonts w:ascii="Calibri" w:eastAsia="Times New Roman" w:hAnsi="Calibri" w:cs="Calibri"/>
          <w:color w:val="000000"/>
          <w:sz w:val="24"/>
          <w:szCs w:val="24"/>
          <w:lang w:eastAsia="es-MX"/>
        </w:rPr>
      </w:pPr>
    </w:p>
    <w:p w14:paraId="431D2373" w14:textId="77777777" w:rsidR="003E76DF" w:rsidRDefault="003E76DF" w:rsidP="003E76DF">
      <w:pPr>
        <w:spacing w:after="0" w:line="240" w:lineRule="auto"/>
        <w:jc w:val="both"/>
        <w:rPr>
          <w:rFonts w:ascii="Calibri" w:eastAsia="Times New Roman" w:hAnsi="Calibri" w:cs="Calibri"/>
          <w:color w:val="000000"/>
          <w:sz w:val="24"/>
          <w:szCs w:val="24"/>
          <w:lang w:eastAsia="es-MX"/>
        </w:rPr>
      </w:pPr>
    </w:p>
    <w:p w14:paraId="3F2F4C54" w14:textId="77777777" w:rsidR="003E76DF" w:rsidRDefault="003E76DF" w:rsidP="003E76DF">
      <w:pPr>
        <w:spacing w:after="0" w:line="240" w:lineRule="auto"/>
        <w:jc w:val="both"/>
        <w:rPr>
          <w:rFonts w:ascii="Calibri" w:eastAsia="Times New Roman" w:hAnsi="Calibri" w:cs="Calibri"/>
          <w:color w:val="000000"/>
          <w:sz w:val="24"/>
          <w:szCs w:val="24"/>
          <w:lang w:eastAsia="es-MX"/>
        </w:rPr>
      </w:pPr>
    </w:p>
    <w:p w14:paraId="2B442AFB" w14:textId="23E5B50C" w:rsidR="00B14BF9" w:rsidRPr="003E76DF" w:rsidRDefault="001106D8" w:rsidP="007D527C">
      <w:pPr>
        <w:spacing w:after="0" w:line="240" w:lineRule="auto"/>
        <w:ind w:left="708"/>
        <w:rPr>
          <w:rFonts w:ascii="Calibri" w:eastAsia="Times New Roman" w:hAnsi="Calibri" w:cs="Calibri"/>
          <w:b/>
          <w:bCs/>
          <w:color w:val="000000"/>
          <w:sz w:val="24"/>
          <w:szCs w:val="24"/>
          <w:lang w:eastAsia="es-MX"/>
        </w:rPr>
      </w:pPr>
      <w:r w:rsidRPr="003E76DF">
        <w:rPr>
          <w:rFonts w:ascii="Calibri" w:eastAsia="Times New Roman" w:hAnsi="Calibri" w:cs="Calibri"/>
          <w:b/>
          <w:bCs/>
          <w:color w:val="000000"/>
          <w:sz w:val="24"/>
          <w:szCs w:val="24"/>
          <w:lang w:eastAsia="es-MX"/>
        </w:rPr>
        <w:t>R</w:t>
      </w:r>
      <w:r w:rsidR="003E76DF" w:rsidRPr="003E76DF">
        <w:rPr>
          <w:rFonts w:ascii="Calibri" w:eastAsia="Times New Roman" w:hAnsi="Calibri" w:cs="Calibri"/>
          <w:b/>
          <w:bCs/>
          <w:color w:val="000000"/>
          <w:sz w:val="24"/>
          <w:szCs w:val="24"/>
          <w:lang w:eastAsia="es-MX"/>
        </w:rPr>
        <w:t>eferencias</w:t>
      </w:r>
    </w:p>
    <w:p w14:paraId="7131BAF8" w14:textId="1D986CE1" w:rsidR="00B14BF9" w:rsidRPr="003E76DF" w:rsidRDefault="00B14BF9" w:rsidP="003E76DF">
      <w:pPr>
        <w:spacing w:after="0" w:line="240" w:lineRule="auto"/>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Ausubel, D. (1968). *</w:t>
      </w:r>
      <w:proofErr w:type="spellStart"/>
      <w:r w:rsidRPr="003E76DF">
        <w:rPr>
          <w:rFonts w:ascii="Calibri" w:eastAsia="Times New Roman" w:hAnsi="Calibri" w:cs="Calibri"/>
          <w:color w:val="000000"/>
          <w:sz w:val="24"/>
          <w:szCs w:val="24"/>
          <w:lang w:eastAsia="es-MX"/>
        </w:rPr>
        <w:t>Educational</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psychology</w:t>
      </w:r>
      <w:proofErr w:type="spellEnd"/>
      <w:r w:rsidRPr="003E76DF">
        <w:rPr>
          <w:rFonts w:ascii="Calibri" w:eastAsia="Times New Roman" w:hAnsi="Calibri" w:cs="Calibri"/>
          <w:color w:val="000000"/>
          <w:sz w:val="24"/>
          <w:szCs w:val="24"/>
          <w:lang w:eastAsia="es-MX"/>
        </w:rPr>
        <w:t xml:space="preserve">: A cognitive </w:t>
      </w:r>
      <w:proofErr w:type="spellStart"/>
      <w:r w:rsidRPr="003E76DF">
        <w:rPr>
          <w:rFonts w:ascii="Calibri" w:eastAsia="Times New Roman" w:hAnsi="Calibri" w:cs="Calibri"/>
          <w:color w:val="000000"/>
          <w:sz w:val="24"/>
          <w:szCs w:val="24"/>
          <w:lang w:eastAsia="es-MX"/>
        </w:rPr>
        <w:t>view</w:t>
      </w:r>
      <w:proofErr w:type="spellEnd"/>
      <w:r w:rsidRPr="003E76DF">
        <w:rPr>
          <w:rFonts w:ascii="Calibri" w:eastAsia="Times New Roman" w:hAnsi="Calibri" w:cs="Calibri"/>
          <w:color w:val="000000"/>
          <w:sz w:val="24"/>
          <w:szCs w:val="24"/>
          <w:lang w:eastAsia="es-MX"/>
        </w:rPr>
        <w:t xml:space="preserve">*. Holt, Rinehart and Winston.  </w:t>
      </w:r>
    </w:p>
    <w:p w14:paraId="178867F3" w14:textId="77777777"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Bruner, J. (1996). *The culture </w:t>
      </w:r>
      <w:proofErr w:type="spellStart"/>
      <w:r w:rsidRPr="003E76DF">
        <w:rPr>
          <w:rFonts w:ascii="Calibri" w:eastAsia="Times New Roman" w:hAnsi="Calibri" w:cs="Calibri"/>
          <w:color w:val="000000"/>
          <w:sz w:val="24"/>
          <w:szCs w:val="24"/>
          <w:lang w:eastAsia="es-MX"/>
        </w:rPr>
        <w:t>of</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education</w:t>
      </w:r>
      <w:proofErr w:type="spellEnd"/>
      <w:r w:rsidRPr="003E76DF">
        <w:rPr>
          <w:rFonts w:ascii="Calibri" w:eastAsia="Times New Roman" w:hAnsi="Calibri" w:cs="Calibri"/>
          <w:color w:val="000000"/>
          <w:sz w:val="24"/>
          <w:szCs w:val="24"/>
          <w:lang w:eastAsia="es-MX"/>
        </w:rPr>
        <w:t xml:space="preserve">*. Harvard </w:t>
      </w:r>
      <w:proofErr w:type="spellStart"/>
      <w:r w:rsidRPr="003E76DF">
        <w:rPr>
          <w:rFonts w:ascii="Calibri" w:eastAsia="Times New Roman" w:hAnsi="Calibri" w:cs="Calibri"/>
          <w:color w:val="000000"/>
          <w:sz w:val="24"/>
          <w:szCs w:val="24"/>
          <w:lang w:eastAsia="es-MX"/>
        </w:rPr>
        <w:t>University</w:t>
      </w:r>
      <w:proofErr w:type="spellEnd"/>
      <w:r w:rsidRPr="003E76DF">
        <w:rPr>
          <w:rFonts w:ascii="Calibri" w:eastAsia="Times New Roman" w:hAnsi="Calibri" w:cs="Calibri"/>
          <w:color w:val="000000"/>
          <w:sz w:val="24"/>
          <w:szCs w:val="24"/>
          <w:lang w:eastAsia="es-MX"/>
        </w:rPr>
        <w:t xml:space="preserve"> Press.  </w:t>
      </w:r>
    </w:p>
    <w:p w14:paraId="481901BE" w14:textId="34A420BB"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Cerdan, J. (2017). *Transformaciones en el aprendizaje: Un enfoque educativo*. Editorial Gedisa.  </w:t>
      </w:r>
    </w:p>
    <w:p w14:paraId="0264ADFE" w14:textId="4B5B6149"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Escobar, L. (2017). *El entorno de aprendizaje y su impacto en el desarrollo de competencias*. Editorial Académica.  </w:t>
      </w:r>
    </w:p>
    <w:p w14:paraId="6B73A630" w14:textId="57A49E58"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Gómez, L., &amp; Fernández, P. (2019). *Diseño de ambientes de aprendizaje: Estrategias para el desarrollo integral*. Editorial Educativa.  </w:t>
      </w:r>
    </w:p>
    <w:p w14:paraId="4EBB7321" w14:textId="615B7ECB"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López, R. (2017). *Factores ambientales en el aprendizaje y desarrollo estudiantil*. Editorial Académica.  </w:t>
      </w:r>
    </w:p>
    <w:p w14:paraId="083C94EE" w14:textId="0E1C1002"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Márquez, J. (2018). *El ambiente como espacio interactivo en la educación*. Editorial Universitaria.  </w:t>
      </w:r>
    </w:p>
    <w:p w14:paraId="172A1D12" w14:textId="659EE388"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Márquez, J., &amp; Díaz, P. (2021). *Flexibilidad pedagógica y formación de competencias en entornos educativos modernos*. Editorial Universitaria.  </w:t>
      </w:r>
    </w:p>
    <w:p w14:paraId="45A9EE44" w14:textId="1B8BCB33"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Medina, C., &amp; Larios, M. (2019). *Ambientes educativos: Estrategias para el desarrollo integral del estudiante*. Editorial Educativa.  </w:t>
      </w:r>
    </w:p>
    <w:p w14:paraId="23267F6C" w14:textId="5CFF217E"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Morales, S. (2016). *Sistemas ambientales y su influencia en el aprendizaje*. Editorial Científica.  </w:t>
      </w:r>
    </w:p>
    <w:p w14:paraId="16F3081C" w14:textId="42B4C0EE"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Moreno, A. (2020). *Innovación pedagógica: Estrategias para el siglo XXI*. Ediciones de la Universidad.  </w:t>
      </w:r>
    </w:p>
    <w:p w14:paraId="048AE4A8" w14:textId="2B5A425A"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Papert, S. (1980). *</w:t>
      </w:r>
      <w:proofErr w:type="spellStart"/>
      <w:r w:rsidRPr="003E76DF">
        <w:rPr>
          <w:rFonts w:ascii="Calibri" w:eastAsia="Times New Roman" w:hAnsi="Calibri" w:cs="Calibri"/>
          <w:color w:val="000000"/>
          <w:sz w:val="24"/>
          <w:szCs w:val="24"/>
          <w:lang w:eastAsia="es-MX"/>
        </w:rPr>
        <w:t>Mindstorms</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Children</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computers</w:t>
      </w:r>
      <w:proofErr w:type="spellEnd"/>
      <w:r w:rsidRPr="003E76DF">
        <w:rPr>
          <w:rFonts w:ascii="Calibri" w:eastAsia="Times New Roman" w:hAnsi="Calibri" w:cs="Calibri"/>
          <w:color w:val="000000"/>
          <w:sz w:val="24"/>
          <w:szCs w:val="24"/>
          <w:lang w:eastAsia="es-MX"/>
        </w:rPr>
        <w:t xml:space="preserve">, and </w:t>
      </w:r>
      <w:proofErr w:type="spellStart"/>
      <w:r w:rsidRPr="003E76DF">
        <w:rPr>
          <w:rFonts w:ascii="Calibri" w:eastAsia="Times New Roman" w:hAnsi="Calibri" w:cs="Calibri"/>
          <w:color w:val="000000"/>
          <w:sz w:val="24"/>
          <w:szCs w:val="24"/>
          <w:lang w:eastAsia="es-MX"/>
        </w:rPr>
        <w:t>powerful</w:t>
      </w:r>
      <w:proofErr w:type="spellEnd"/>
      <w:r w:rsidRPr="003E76DF">
        <w:rPr>
          <w:rFonts w:ascii="Calibri" w:eastAsia="Times New Roman" w:hAnsi="Calibri" w:cs="Calibri"/>
          <w:color w:val="000000"/>
          <w:sz w:val="24"/>
          <w:szCs w:val="24"/>
          <w:lang w:eastAsia="es-MX"/>
        </w:rPr>
        <w:t xml:space="preserve"> ideas*. Basic Books.  </w:t>
      </w:r>
    </w:p>
    <w:p w14:paraId="5F72A346" w14:textId="476D452C"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Pérez, F., &amp; Rodríguez, S. (2020). *Transformación educativa en la sociedad contemporánea*. Ediciones Pedagógicas.  </w:t>
      </w:r>
    </w:p>
    <w:p w14:paraId="4BEE8EA5" w14:textId="460393D5" w:rsidR="00B14BF9" w:rsidRPr="003E76DF" w:rsidRDefault="00B14BF9" w:rsidP="00707A4E">
      <w:pPr>
        <w:spacing w:after="0" w:line="240" w:lineRule="auto"/>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 xml:space="preserve">Ruiz, T. (2018). *Motivación y aprendizaje en contextos educativos actuales*. Editorial Científica.  </w:t>
      </w:r>
    </w:p>
    <w:p w14:paraId="19E31E18" w14:textId="124B2CF8" w:rsidR="00B14BF9" w:rsidRPr="003E76DF" w:rsidRDefault="00B14BF9" w:rsidP="00707A4E">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lastRenderedPageBreak/>
        <w:t xml:space="preserve">Sánchez, M., &amp; Ramírez, A. (2020). *La educación frente a una sociedad en cambio constante*. Ediciones Pedagógicas.  </w:t>
      </w:r>
    </w:p>
    <w:p w14:paraId="67C87CA1" w14:textId="4D3E1465" w:rsidR="00A628B9" w:rsidRDefault="00B14BF9" w:rsidP="0020294B">
      <w:pPr>
        <w:spacing w:after="0" w:line="240" w:lineRule="auto"/>
        <w:ind w:left="567" w:hanging="567"/>
        <w:jc w:val="both"/>
        <w:rPr>
          <w:rFonts w:ascii="Calibri" w:eastAsia="Times New Roman" w:hAnsi="Calibri" w:cs="Calibri"/>
          <w:color w:val="000000"/>
          <w:sz w:val="24"/>
          <w:szCs w:val="24"/>
          <w:lang w:eastAsia="es-MX"/>
        </w:rPr>
      </w:pPr>
      <w:r w:rsidRPr="003E76DF">
        <w:rPr>
          <w:rFonts w:ascii="Calibri" w:eastAsia="Times New Roman" w:hAnsi="Calibri" w:cs="Calibri"/>
          <w:color w:val="000000"/>
          <w:sz w:val="24"/>
          <w:szCs w:val="24"/>
          <w:lang w:eastAsia="es-MX"/>
        </w:rPr>
        <w:t>Scolari, C. A., &amp; Marín, P. (2013). *</w:t>
      </w:r>
      <w:proofErr w:type="spellStart"/>
      <w:r w:rsidRPr="003E76DF">
        <w:rPr>
          <w:rFonts w:ascii="Calibri" w:eastAsia="Times New Roman" w:hAnsi="Calibri" w:cs="Calibri"/>
          <w:color w:val="000000"/>
          <w:sz w:val="24"/>
          <w:szCs w:val="24"/>
          <w:lang w:eastAsia="es-MX"/>
        </w:rPr>
        <w:t>Transmedia</w:t>
      </w:r>
      <w:proofErr w:type="spellEnd"/>
      <w:r w:rsidRPr="003E76DF">
        <w:rPr>
          <w:rFonts w:ascii="Calibri" w:eastAsia="Times New Roman" w:hAnsi="Calibri" w:cs="Calibri"/>
          <w:color w:val="000000"/>
          <w:sz w:val="24"/>
          <w:szCs w:val="24"/>
          <w:lang w:eastAsia="es-MX"/>
        </w:rPr>
        <w:t xml:space="preserve"> </w:t>
      </w:r>
      <w:proofErr w:type="spellStart"/>
      <w:r w:rsidRPr="003E76DF">
        <w:rPr>
          <w:rFonts w:ascii="Calibri" w:eastAsia="Times New Roman" w:hAnsi="Calibri" w:cs="Calibri"/>
          <w:color w:val="000000"/>
          <w:sz w:val="24"/>
          <w:szCs w:val="24"/>
          <w:lang w:eastAsia="es-MX"/>
        </w:rPr>
        <w:t>storytelling</w:t>
      </w:r>
      <w:proofErr w:type="spellEnd"/>
      <w:r w:rsidRPr="003E76DF">
        <w:rPr>
          <w:rFonts w:ascii="Calibri" w:eastAsia="Times New Roman" w:hAnsi="Calibri" w:cs="Calibri"/>
          <w:color w:val="000000"/>
          <w:sz w:val="24"/>
          <w:szCs w:val="24"/>
          <w:lang w:eastAsia="es-MX"/>
        </w:rPr>
        <w:t>: Un nuevo paradigma en la narrativa contemporánea*. UOC.</w:t>
      </w:r>
    </w:p>
    <w:p w14:paraId="03D36076" w14:textId="77777777" w:rsidR="0020294B" w:rsidRDefault="0020294B" w:rsidP="0020294B">
      <w:pPr>
        <w:spacing w:after="0" w:line="240" w:lineRule="auto"/>
        <w:ind w:left="567" w:hanging="567"/>
        <w:jc w:val="both"/>
        <w:rPr>
          <w:rFonts w:ascii="Calibri" w:eastAsia="Times New Roman" w:hAnsi="Calibri" w:cs="Calibri"/>
          <w:color w:val="000000"/>
          <w:sz w:val="24"/>
          <w:szCs w:val="24"/>
          <w:lang w:eastAsia="es-MX"/>
        </w:rPr>
      </w:pPr>
    </w:p>
    <w:p w14:paraId="23C2DB75" w14:textId="77777777" w:rsidR="0020294B" w:rsidRDefault="0020294B" w:rsidP="0020294B">
      <w:pPr>
        <w:spacing w:after="0" w:line="240" w:lineRule="auto"/>
        <w:ind w:left="567" w:hanging="567"/>
        <w:jc w:val="both"/>
        <w:rPr>
          <w:rFonts w:ascii="Calibri" w:eastAsia="Times New Roman" w:hAnsi="Calibri" w:cs="Calibri"/>
          <w:color w:val="000000"/>
          <w:sz w:val="24"/>
          <w:szCs w:val="24"/>
          <w:lang w:eastAsia="es-MX"/>
        </w:rPr>
      </w:pPr>
    </w:p>
    <w:p w14:paraId="48FE3570" w14:textId="49B437E0" w:rsidR="0020294B" w:rsidRPr="003E76DF" w:rsidRDefault="0020294B" w:rsidP="0020294B">
      <w:pPr>
        <w:spacing w:after="0" w:line="240" w:lineRule="auto"/>
        <w:ind w:left="567" w:hanging="567"/>
        <w:jc w:val="both"/>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 xml:space="preserve"> </w:t>
      </w:r>
    </w:p>
    <w:sectPr w:rsidR="0020294B" w:rsidRPr="003E76DF" w:rsidSect="003E76DF">
      <w:headerReference w:type="default" r:id="rId9"/>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04CD" w14:textId="77777777" w:rsidR="007977CB" w:rsidRDefault="007977CB" w:rsidP="00D71C8F">
      <w:pPr>
        <w:spacing w:after="0" w:line="240" w:lineRule="auto"/>
      </w:pPr>
      <w:r>
        <w:separator/>
      </w:r>
    </w:p>
  </w:endnote>
  <w:endnote w:type="continuationSeparator" w:id="0">
    <w:p w14:paraId="74C04976" w14:textId="77777777" w:rsidR="007977CB" w:rsidRDefault="007977CB" w:rsidP="00D7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3ED1" w14:textId="6093935B" w:rsidR="00D71C8F" w:rsidRDefault="00D71C8F" w:rsidP="00D71C8F">
    <w:pPr>
      <w:pStyle w:val="Piedepgina"/>
      <w:jc w:val="center"/>
    </w:pPr>
    <w:r w:rsidRPr="00F44F95">
      <w:rPr>
        <w:rFonts w:cstheme="minorHAnsi"/>
        <w:b/>
      </w:rPr>
      <w:t>Vol. 1</w:t>
    </w:r>
    <w:r>
      <w:rPr>
        <w:rFonts w:cstheme="minorHAnsi"/>
        <w:b/>
      </w:rPr>
      <w:t>1</w:t>
    </w:r>
    <w:r w:rsidRPr="00F44F95">
      <w:rPr>
        <w:rFonts w:cstheme="minorHAnsi"/>
        <w:b/>
      </w:rPr>
      <w:t xml:space="preserve">, Núm. </w:t>
    </w:r>
    <w:r>
      <w:rPr>
        <w:rFonts w:cstheme="minorHAnsi"/>
        <w:b/>
      </w:rPr>
      <w:t>2</w:t>
    </w:r>
    <w:r w:rsidR="00A1674E">
      <w:rPr>
        <w:rFonts w:cstheme="minorHAnsi"/>
        <w:b/>
      </w:rPr>
      <w:t>2</w:t>
    </w:r>
    <w:r w:rsidRPr="00F44F95">
      <w:rPr>
        <w:rFonts w:cstheme="minorHAnsi"/>
        <w:b/>
      </w:rPr>
      <w:t xml:space="preserve">                  </w:t>
    </w:r>
    <w:r w:rsidR="00A1674E">
      <w:rPr>
        <w:rFonts w:cstheme="minorHAnsi"/>
        <w:b/>
      </w:rPr>
      <w:t>Julio</w:t>
    </w:r>
    <w:r>
      <w:rPr>
        <w:rFonts w:cstheme="minorHAnsi"/>
        <w:b/>
      </w:rPr>
      <w:t xml:space="preserve"> – </w:t>
    </w:r>
    <w:proofErr w:type="gramStart"/>
    <w:r w:rsidR="00A1674E">
      <w:rPr>
        <w:rFonts w:cstheme="minorHAnsi"/>
        <w:b/>
      </w:rPr>
      <w:t>Agosto</w:t>
    </w:r>
    <w:proofErr w:type="gramEnd"/>
    <w:r>
      <w:rPr>
        <w:rFonts w:cstheme="minorHAnsi"/>
        <w:b/>
      </w:rPr>
      <w:t xml:space="preserve"> 2024</w:t>
    </w:r>
    <w:r w:rsidRPr="00F44F95">
      <w:rPr>
        <w:rFonts w:cstheme="minorHAnsi"/>
        <w:b/>
      </w:rPr>
      <w:t xml:space="preserve">                         ISSN: 2448 – 6280</w:t>
    </w:r>
  </w:p>
  <w:p w14:paraId="006F9E48" w14:textId="77777777" w:rsidR="00D71C8F" w:rsidRDefault="00D71C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1E0F" w14:textId="77777777" w:rsidR="007977CB" w:rsidRDefault="007977CB" w:rsidP="00D71C8F">
      <w:pPr>
        <w:spacing w:after="0" w:line="240" w:lineRule="auto"/>
      </w:pPr>
      <w:r>
        <w:separator/>
      </w:r>
    </w:p>
  </w:footnote>
  <w:footnote w:type="continuationSeparator" w:id="0">
    <w:p w14:paraId="7C7E367D" w14:textId="77777777" w:rsidR="007977CB" w:rsidRDefault="007977CB" w:rsidP="00D7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09A2" w14:textId="68A9DFF8" w:rsidR="007D527C" w:rsidRDefault="007D527C">
    <w:pPr>
      <w:pStyle w:val="Encabezado"/>
    </w:pPr>
    <w:r>
      <w:rPr>
        <w:noProof/>
      </w:rPr>
      <w:drawing>
        <wp:inline distT="0" distB="0" distL="0" distR="0" wp14:anchorId="588D2DC6" wp14:editId="17376827">
          <wp:extent cx="7071360" cy="997585"/>
          <wp:effectExtent l="0" t="0" r="0" b="0"/>
          <wp:docPr id="971354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1360" cy="997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30812"/>
    <w:multiLevelType w:val="hybridMultilevel"/>
    <w:tmpl w:val="D4487C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198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57"/>
    <w:rsid w:val="00051D0B"/>
    <w:rsid w:val="001106D8"/>
    <w:rsid w:val="00123160"/>
    <w:rsid w:val="0020294B"/>
    <w:rsid w:val="002A0814"/>
    <w:rsid w:val="00363D93"/>
    <w:rsid w:val="003E76DF"/>
    <w:rsid w:val="00407F67"/>
    <w:rsid w:val="00410049"/>
    <w:rsid w:val="00447209"/>
    <w:rsid w:val="0055027F"/>
    <w:rsid w:val="0055720C"/>
    <w:rsid w:val="005F71AB"/>
    <w:rsid w:val="006E34B5"/>
    <w:rsid w:val="00707A4E"/>
    <w:rsid w:val="00752F57"/>
    <w:rsid w:val="007672DC"/>
    <w:rsid w:val="007935B8"/>
    <w:rsid w:val="007977CB"/>
    <w:rsid w:val="007D527C"/>
    <w:rsid w:val="008B173B"/>
    <w:rsid w:val="00981ED9"/>
    <w:rsid w:val="009E4136"/>
    <w:rsid w:val="00A1674E"/>
    <w:rsid w:val="00A628B9"/>
    <w:rsid w:val="00A91BAE"/>
    <w:rsid w:val="00A94B61"/>
    <w:rsid w:val="00AE04C1"/>
    <w:rsid w:val="00B14BF9"/>
    <w:rsid w:val="00B54B9F"/>
    <w:rsid w:val="00B77128"/>
    <w:rsid w:val="00BD0750"/>
    <w:rsid w:val="00C10F4D"/>
    <w:rsid w:val="00CA663A"/>
    <w:rsid w:val="00CB63E2"/>
    <w:rsid w:val="00CE3179"/>
    <w:rsid w:val="00D71C8F"/>
    <w:rsid w:val="00DD28DE"/>
    <w:rsid w:val="00DD68A7"/>
    <w:rsid w:val="00FD36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704B"/>
  <w15:chartTrackingRefBased/>
  <w15:docId w15:val="{4B60C0D8-B21C-4317-94C3-F193C3DD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F57"/>
    <w:pPr>
      <w:spacing w:after="200" w:line="276" w:lineRule="auto"/>
    </w:pPr>
    <w:rPr>
      <w:kern w:val="0"/>
      <w14:ligatures w14:val="none"/>
    </w:rPr>
  </w:style>
  <w:style w:type="paragraph" w:styleId="Ttulo1">
    <w:name w:val="heading 1"/>
    <w:basedOn w:val="Normal"/>
    <w:next w:val="Normal"/>
    <w:link w:val="Ttulo1Car"/>
    <w:uiPriority w:val="9"/>
    <w:qFormat/>
    <w:rsid w:val="00752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2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2F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2F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2F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2F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2F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2F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2F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2F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2F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2F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2F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2F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2F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2F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2F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2F57"/>
    <w:rPr>
      <w:rFonts w:eastAsiaTheme="majorEastAsia" w:cstheme="majorBidi"/>
      <w:color w:val="272727" w:themeColor="text1" w:themeTint="D8"/>
    </w:rPr>
  </w:style>
  <w:style w:type="paragraph" w:styleId="Ttulo">
    <w:name w:val="Title"/>
    <w:basedOn w:val="Normal"/>
    <w:next w:val="Normal"/>
    <w:link w:val="TtuloCar"/>
    <w:uiPriority w:val="10"/>
    <w:qFormat/>
    <w:rsid w:val="00752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2F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2F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2F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F57"/>
    <w:pPr>
      <w:spacing w:before="160"/>
      <w:jc w:val="center"/>
    </w:pPr>
    <w:rPr>
      <w:i/>
      <w:iCs/>
      <w:color w:val="404040" w:themeColor="text1" w:themeTint="BF"/>
    </w:rPr>
  </w:style>
  <w:style w:type="character" w:customStyle="1" w:styleId="CitaCar">
    <w:name w:val="Cita Car"/>
    <w:basedOn w:val="Fuentedeprrafopredeter"/>
    <w:link w:val="Cita"/>
    <w:uiPriority w:val="29"/>
    <w:rsid w:val="00752F57"/>
    <w:rPr>
      <w:i/>
      <w:iCs/>
      <w:color w:val="404040" w:themeColor="text1" w:themeTint="BF"/>
    </w:rPr>
  </w:style>
  <w:style w:type="paragraph" w:styleId="Prrafodelista">
    <w:name w:val="List Paragraph"/>
    <w:basedOn w:val="Normal"/>
    <w:uiPriority w:val="34"/>
    <w:qFormat/>
    <w:rsid w:val="00752F57"/>
    <w:pPr>
      <w:ind w:left="720"/>
      <w:contextualSpacing/>
    </w:pPr>
  </w:style>
  <w:style w:type="character" w:styleId="nfasisintenso">
    <w:name w:val="Intense Emphasis"/>
    <w:basedOn w:val="Fuentedeprrafopredeter"/>
    <w:uiPriority w:val="21"/>
    <w:qFormat/>
    <w:rsid w:val="00752F57"/>
    <w:rPr>
      <w:i/>
      <w:iCs/>
      <w:color w:val="0F4761" w:themeColor="accent1" w:themeShade="BF"/>
    </w:rPr>
  </w:style>
  <w:style w:type="paragraph" w:styleId="Citadestacada">
    <w:name w:val="Intense Quote"/>
    <w:basedOn w:val="Normal"/>
    <w:next w:val="Normal"/>
    <w:link w:val="CitadestacadaCar"/>
    <w:uiPriority w:val="30"/>
    <w:qFormat/>
    <w:rsid w:val="00752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2F57"/>
    <w:rPr>
      <w:i/>
      <w:iCs/>
      <w:color w:val="0F4761" w:themeColor="accent1" w:themeShade="BF"/>
    </w:rPr>
  </w:style>
  <w:style w:type="character" w:styleId="Referenciaintensa">
    <w:name w:val="Intense Reference"/>
    <w:basedOn w:val="Fuentedeprrafopredeter"/>
    <w:uiPriority w:val="32"/>
    <w:qFormat/>
    <w:rsid w:val="00752F57"/>
    <w:rPr>
      <w:b/>
      <w:bCs/>
      <w:smallCaps/>
      <w:color w:val="0F4761" w:themeColor="accent1" w:themeShade="BF"/>
      <w:spacing w:val="5"/>
    </w:rPr>
  </w:style>
  <w:style w:type="paragraph" w:styleId="NormalWeb">
    <w:name w:val="Normal (Web)"/>
    <w:basedOn w:val="Normal"/>
    <w:uiPriority w:val="99"/>
    <w:unhideWhenUsed/>
    <w:rsid w:val="00752F5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752F57"/>
    <w:rPr>
      <w:color w:val="467886" w:themeColor="hyperlink"/>
      <w:u w:val="single"/>
    </w:rPr>
  </w:style>
  <w:style w:type="character" w:styleId="Mencinsinresolver">
    <w:name w:val="Unresolved Mention"/>
    <w:basedOn w:val="Fuentedeprrafopredeter"/>
    <w:uiPriority w:val="99"/>
    <w:semiHidden/>
    <w:unhideWhenUsed/>
    <w:rsid w:val="00752F57"/>
    <w:rPr>
      <w:color w:val="605E5C"/>
      <w:shd w:val="clear" w:color="auto" w:fill="E1DFDD"/>
    </w:rPr>
  </w:style>
  <w:style w:type="paragraph" w:styleId="Encabezado">
    <w:name w:val="header"/>
    <w:basedOn w:val="Normal"/>
    <w:link w:val="EncabezadoCar"/>
    <w:uiPriority w:val="99"/>
    <w:unhideWhenUsed/>
    <w:rsid w:val="00D71C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1C8F"/>
    <w:rPr>
      <w:kern w:val="0"/>
      <w14:ligatures w14:val="none"/>
    </w:rPr>
  </w:style>
  <w:style w:type="paragraph" w:styleId="Piedepgina">
    <w:name w:val="footer"/>
    <w:basedOn w:val="Normal"/>
    <w:link w:val="PiedepginaCar"/>
    <w:uiPriority w:val="99"/>
    <w:unhideWhenUsed/>
    <w:rsid w:val="00D71C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1C8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1310@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D47E-5F3E-4333-954B-D7F48D64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2662</Words>
  <Characters>14646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Selene Margarita Vázquez Soto</dc:creator>
  <cp:keywords/>
  <dc:description/>
  <cp:lastModifiedBy>L. ANAID DE LA CRUZ</cp:lastModifiedBy>
  <cp:revision>2</cp:revision>
  <dcterms:created xsi:type="dcterms:W3CDTF">2026-02-13T00:32:00Z</dcterms:created>
  <dcterms:modified xsi:type="dcterms:W3CDTF">2026-02-13T00:32:00Z</dcterms:modified>
</cp:coreProperties>
</file>