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8F48" w14:textId="5078E72D" w:rsidR="001454C6" w:rsidRPr="00F44E7A" w:rsidRDefault="00AE620F" w:rsidP="00BB2FA9">
      <w:pPr>
        <w:jc w:val="right"/>
        <w:rPr>
          <w:rFonts w:ascii="Calibri" w:hAnsi="Calibri" w:cs="Calibri"/>
          <w:b/>
          <w:color w:val="000000"/>
          <w:sz w:val="36"/>
          <w:szCs w:val="36"/>
          <w:lang w:val="es-MX" w:eastAsia="es-MX"/>
        </w:rPr>
      </w:pPr>
      <w:r w:rsidRPr="00F44E7A">
        <w:rPr>
          <w:rFonts w:ascii="Calibri" w:hAnsi="Calibri" w:cs="Calibri"/>
          <w:b/>
          <w:color w:val="000000"/>
          <w:sz w:val="36"/>
          <w:szCs w:val="36"/>
          <w:lang w:val="es-MX" w:eastAsia="es-MX"/>
        </w:rPr>
        <w:t xml:space="preserve">El uso de apps en dispositivos móviles para el aprendizaje de la </w:t>
      </w:r>
      <w:r w:rsidR="00B15072" w:rsidRPr="00F44E7A">
        <w:rPr>
          <w:rFonts w:ascii="Calibri" w:hAnsi="Calibri" w:cs="Calibri"/>
          <w:b/>
          <w:color w:val="000000"/>
          <w:sz w:val="36"/>
          <w:szCs w:val="36"/>
          <w:lang w:val="es-MX" w:eastAsia="es-MX"/>
        </w:rPr>
        <w:t>estadística</w:t>
      </w:r>
      <w:r w:rsidRPr="00F44E7A">
        <w:rPr>
          <w:rFonts w:ascii="Calibri" w:hAnsi="Calibri" w:cs="Calibri"/>
          <w:b/>
          <w:color w:val="000000"/>
          <w:sz w:val="36"/>
          <w:szCs w:val="36"/>
          <w:lang w:val="es-MX" w:eastAsia="es-MX"/>
        </w:rPr>
        <w:t xml:space="preserve"> en el nivel superior</w:t>
      </w:r>
    </w:p>
    <w:p w14:paraId="1636D43D" w14:textId="77777777" w:rsidR="00F44E7A" w:rsidRDefault="00F44E7A" w:rsidP="00F44E7A">
      <w:pPr>
        <w:jc w:val="right"/>
        <w:rPr>
          <w:rFonts w:ascii="Calibri" w:hAnsi="Calibri" w:cs="Calibri"/>
          <w:b/>
          <w:i/>
          <w:iCs/>
          <w:color w:val="000000"/>
          <w:sz w:val="28"/>
          <w:szCs w:val="28"/>
          <w:lang w:val="es-MX" w:eastAsia="es-MX"/>
        </w:rPr>
      </w:pPr>
    </w:p>
    <w:p w14:paraId="3B690D1D" w14:textId="6B07683D" w:rsidR="00AE620F" w:rsidRPr="00F44E7A" w:rsidRDefault="00AE620F" w:rsidP="00F44E7A">
      <w:pPr>
        <w:jc w:val="right"/>
        <w:rPr>
          <w:rFonts w:ascii="Calibri" w:hAnsi="Calibri" w:cs="Calibri"/>
          <w:b/>
          <w:i/>
          <w:iCs/>
          <w:color w:val="000000"/>
          <w:sz w:val="28"/>
          <w:szCs w:val="28"/>
          <w:lang w:val="es-MX" w:eastAsia="es-MX"/>
        </w:rPr>
      </w:pPr>
      <w:proofErr w:type="spellStart"/>
      <w:r w:rsidRPr="00F44E7A">
        <w:rPr>
          <w:rFonts w:ascii="Calibri" w:hAnsi="Calibri" w:cs="Calibri"/>
          <w:b/>
          <w:i/>
          <w:iCs/>
          <w:color w:val="000000"/>
          <w:sz w:val="28"/>
          <w:szCs w:val="28"/>
          <w:lang w:val="es-MX" w:eastAsia="es-MX"/>
        </w:rPr>
        <w:t>The</w:t>
      </w:r>
      <w:proofErr w:type="spellEnd"/>
      <w:r w:rsidRPr="00F44E7A">
        <w:rPr>
          <w:rFonts w:ascii="Calibri" w:hAnsi="Calibri" w:cs="Calibri"/>
          <w:b/>
          <w:i/>
          <w:iCs/>
          <w:color w:val="000000"/>
          <w:sz w:val="28"/>
          <w:szCs w:val="28"/>
          <w:lang w:val="es-MX" w:eastAsia="es-MX"/>
        </w:rPr>
        <w:t xml:space="preserve"> uses</w:t>
      </w:r>
      <w:r w:rsidR="00B15072" w:rsidRPr="00F44E7A">
        <w:rPr>
          <w:rFonts w:ascii="Calibri" w:hAnsi="Calibri" w:cs="Calibri"/>
          <w:b/>
          <w:i/>
          <w:iCs/>
          <w:color w:val="000000"/>
          <w:sz w:val="28"/>
          <w:szCs w:val="28"/>
          <w:lang w:val="es-MX" w:eastAsia="es-MX"/>
        </w:rPr>
        <w:t xml:space="preserve"> </w:t>
      </w:r>
      <w:proofErr w:type="spellStart"/>
      <w:r w:rsidR="00B15072" w:rsidRPr="00F44E7A">
        <w:rPr>
          <w:rFonts w:ascii="Calibri" w:hAnsi="Calibri" w:cs="Calibri"/>
          <w:b/>
          <w:i/>
          <w:iCs/>
          <w:color w:val="000000"/>
          <w:sz w:val="28"/>
          <w:szCs w:val="28"/>
          <w:lang w:val="es-MX" w:eastAsia="es-MX"/>
        </w:rPr>
        <w:t>of</w:t>
      </w:r>
      <w:proofErr w:type="spellEnd"/>
      <w:r w:rsidR="00B15072" w:rsidRPr="00F44E7A">
        <w:rPr>
          <w:rFonts w:ascii="Calibri" w:hAnsi="Calibri" w:cs="Calibri"/>
          <w:b/>
          <w:i/>
          <w:iCs/>
          <w:color w:val="000000"/>
          <w:sz w:val="28"/>
          <w:szCs w:val="28"/>
          <w:lang w:val="es-MX" w:eastAsia="es-MX"/>
        </w:rPr>
        <w:t xml:space="preserve"> apps</w:t>
      </w:r>
      <w:r w:rsidRPr="00F44E7A">
        <w:rPr>
          <w:rFonts w:ascii="Calibri" w:hAnsi="Calibri" w:cs="Calibri"/>
          <w:b/>
          <w:i/>
          <w:iCs/>
          <w:color w:val="000000"/>
          <w:sz w:val="28"/>
          <w:szCs w:val="28"/>
          <w:lang w:val="es-MX" w:eastAsia="es-MX"/>
        </w:rPr>
        <w:t xml:space="preserve"> in </w:t>
      </w:r>
      <w:proofErr w:type="spellStart"/>
      <w:r w:rsidRPr="00F44E7A">
        <w:rPr>
          <w:rFonts w:ascii="Calibri" w:hAnsi="Calibri" w:cs="Calibri"/>
          <w:b/>
          <w:i/>
          <w:iCs/>
          <w:color w:val="000000"/>
          <w:sz w:val="28"/>
          <w:szCs w:val="28"/>
          <w:lang w:val="es-MX" w:eastAsia="es-MX"/>
        </w:rPr>
        <w:t>mobile</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devices</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for</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learning</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statistics</w:t>
      </w:r>
      <w:proofErr w:type="spellEnd"/>
      <w:r w:rsidRPr="00F44E7A">
        <w:rPr>
          <w:rFonts w:ascii="Calibri" w:hAnsi="Calibri" w:cs="Calibri"/>
          <w:b/>
          <w:i/>
          <w:iCs/>
          <w:color w:val="000000"/>
          <w:sz w:val="28"/>
          <w:szCs w:val="28"/>
          <w:lang w:val="es-MX" w:eastAsia="es-MX"/>
        </w:rPr>
        <w:t xml:space="preserve"> at </w:t>
      </w:r>
      <w:proofErr w:type="spellStart"/>
      <w:r w:rsidRPr="00F44E7A">
        <w:rPr>
          <w:rFonts w:ascii="Calibri" w:hAnsi="Calibri" w:cs="Calibri"/>
          <w:b/>
          <w:i/>
          <w:iCs/>
          <w:color w:val="000000"/>
          <w:sz w:val="28"/>
          <w:szCs w:val="28"/>
          <w:lang w:val="es-MX" w:eastAsia="es-MX"/>
        </w:rPr>
        <w:t>the</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higher</w:t>
      </w:r>
      <w:proofErr w:type="spellEnd"/>
      <w:r w:rsidRPr="00F44E7A">
        <w:rPr>
          <w:rFonts w:ascii="Calibri" w:hAnsi="Calibri" w:cs="Calibri"/>
          <w:b/>
          <w:i/>
          <w:iCs/>
          <w:color w:val="000000"/>
          <w:sz w:val="28"/>
          <w:szCs w:val="28"/>
          <w:lang w:val="es-MX" w:eastAsia="es-MX"/>
        </w:rPr>
        <w:t xml:space="preserve"> </w:t>
      </w:r>
      <w:proofErr w:type="spellStart"/>
      <w:r w:rsidRPr="00F44E7A">
        <w:rPr>
          <w:rFonts w:ascii="Calibri" w:hAnsi="Calibri" w:cs="Calibri"/>
          <w:b/>
          <w:i/>
          <w:iCs/>
          <w:color w:val="000000"/>
          <w:sz w:val="28"/>
          <w:szCs w:val="28"/>
          <w:lang w:val="es-MX" w:eastAsia="es-MX"/>
        </w:rPr>
        <w:t>level</w:t>
      </w:r>
      <w:proofErr w:type="spellEnd"/>
    </w:p>
    <w:p w14:paraId="7F23E4AC" w14:textId="77777777" w:rsidR="00AE620F" w:rsidRPr="00DE17CB" w:rsidRDefault="00AE620F" w:rsidP="00BB2FA9">
      <w:pPr>
        <w:jc w:val="right"/>
        <w:rPr>
          <w:b/>
          <w:bCs/>
        </w:rPr>
      </w:pPr>
    </w:p>
    <w:p w14:paraId="49EB20F7" w14:textId="57D93E93" w:rsidR="00AE620F" w:rsidRDefault="00D613F4" w:rsidP="00F44E7A">
      <w:pPr>
        <w:spacing w:line="276" w:lineRule="auto"/>
        <w:jc w:val="right"/>
      </w:pPr>
      <w:r w:rsidRPr="00F44E7A">
        <w:rPr>
          <w:rFonts w:ascii="Calibri" w:eastAsia="Calibri" w:hAnsi="Calibri" w:cs="Calibri"/>
          <w:b/>
          <w:lang w:eastAsia="en-US"/>
        </w:rPr>
        <w:t>Miguel Ángel Rangel Romero</w:t>
      </w:r>
    </w:p>
    <w:p w14:paraId="313914BB" w14:textId="7CF2F127" w:rsidR="00AE620F" w:rsidRPr="00DE17CB" w:rsidRDefault="00F44E7A" w:rsidP="00F44E7A">
      <w:pPr>
        <w:spacing w:line="276" w:lineRule="auto"/>
        <w:jc w:val="right"/>
      </w:pPr>
      <w:r w:rsidRPr="00DE17CB">
        <w:t>Universidad de Guadalajara</w:t>
      </w:r>
      <w:r>
        <w:t xml:space="preserve">, </w:t>
      </w:r>
      <w:r w:rsidRPr="00DE17CB">
        <w:t>México</w:t>
      </w:r>
    </w:p>
    <w:p w14:paraId="08B8B65F" w14:textId="0021089C" w:rsidR="00AE620F" w:rsidRPr="00F44E7A" w:rsidRDefault="00D6197D" w:rsidP="00F44E7A">
      <w:pPr>
        <w:spacing w:line="276" w:lineRule="auto"/>
        <w:jc w:val="right"/>
        <w:rPr>
          <w:rStyle w:val="Hipervnculo"/>
          <w:rFonts w:asciiTheme="minorHAnsi" w:eastAsiaTheme="minorEastAsia" w:hAnsiTheme="minorHAnsi" w:cstheme="minorHAnsi"/>
          <w:color w:val="FF0000"/>
          <w:u w:val="none"/>
          <w:lang w:val="es-MX" w:eastAsia="zh-CN" w:bidi="hi-IN"/>
        </w:rPr>
      </w:pPr>
      <w:hyperlink r:id="rId8" w:history="1">
        <w:r w:rsidR="003776A2" w:rsidRPr="00F44E7A">
          <w:rPr>
            <w:rStyle w:val="Hipervnculo"/>
            <w:rFonts w:asciiTheme="minorHAnsi" w:eastAsiaTheme="minorEastAsia" w:hAnsiTheme="minorHAnsi" w:cstheme="minorHAnsi"/>
            <w:color w:val="FF0000"/>
            <w:u w:val="none"/>
            <w:lang w:val="es-MX" w:eastAsia="zh-CN" w:bidi="hi-IN"/>
          </w:rPr>
          <w:t>marangel@cusur.udg.mx</w:t>
        </w:r>
      </w:hyperlink>
    </w:p>
    <w:p w14:paraId="0E53FE19" w14:textId="6E8B7107" w:rsidR="007432A6" w:rsidRDefault="007432A6" w:rsidP="00F44E7A">
      <w:pPr>
        <w:spacing w:line="276" w:lineRule="auto"/>
        <w:jc w:val="right"/>
      </w:pPr>
      <w:r>
        <w:t>https://orcid.org/0000-0002-1717-1063</w:t>
      </w:r>
    </w:p>
    <w:p w14:paraId="39474E4A" w14:textId="77777777" w:rsidR="003776A2" w:rsidRDefault="003776A2" w:rsidP="00F44E7A">
      <w:pPr>
        <w:spacing w:line="276" w:lineRule="auto"/>
        <w:jc w:val="right"/>
      </w:pPr>
    </w:p>
    <w:p w14:paraId="7CE123DF" w14:textId="2889607C" w:rsidR="00AE620F" w:rsidRPr="00F44E7A" w:rsidRDefault="003776A2" w:rsidP="00F44E7A">
      <w:pPr>
        <w:spacing w:line="276" w:lineRule="auto"/>
        <w:jc w:val="right"/>
        <w:rPr>
          <w:rFonts w:ascii="Calibri" w:eastAsia="Calibri" w:hAnsi="Calibri" w:cs="Calibri"/>
          <w:b/>
          <w:lang w:eastAsia="en-US"/>
        </w:rPr>
      </w:pPr>
      <w:r w:rsidRPr="00F44E7A">
        <w:rPr>
          <w:rFonts w:ascii="Calibri" w:eastAsia="Calibri" w:hAnsi="Calibri" w:cs="Calibri"/>
          <w:b/>
          <w:lang w:eastAsia="en-US"/>
        </w:rPr>
        <w:t>Felipe Santoyo Telles</w:t>
      </w:r>
    </w:p>
    <w:p w14:paraId="3CA8FF5D" w14:textId="0272595E" w:rsidR="003776A2" w:rsidRPr="00DE17CB" w:rsidRDefault="003776A2" w:rsidP="00F44E7A">
      <w:pPr>
        <w:spacing w:line="276" w:lineRule="auto"/>
        <w:jc w:val="right"/>
      </w:pPr>
      <w:r w:rsidRPr="00DE17CB">
        <w:t>Universidad de Guadalajara</w:t>
      </w:r>
      <w:r w:rsidR="00F44E7A">
        <w:t xml:space="preserve">, </w:t>
      </w:r>
      <w:r w:rsidRPr="00DE17CB">
        <w:t>México</w:t>
      </w:r>
    </w:p>
    <w:p w14:paraId="654EFD22" w14:textId="5641220F" w:rsidR="00714B16" w:rsidRPr="00F44E7A" w:rsidRDefault="00D6197D" w:rsidP="00F44E7A">
      <w:pPr>
        <w:spacing w:line="276" w:lineRule="auto"/>
        <w:jc w:val="right"/>
        <w:rPr>
          <w:rStyle w:val="Hipervnculo"/>
          <w:rFonts w:asciiTheme="minorHAnsi" w:eastAsiaTheme="minorEastAsia" w:hAnsiTheme="minorHAnsi" w:cstheme="minorHAnsi"/>
          <w:color w:val="FF0000"/>
          <w:u w:val="none"/>
          <w:lang w:val="es-MX" w:eastAsia="zh-CN" w:bidi="hi-IN"/>
        </w:rPr>
      </w:pPr>
      <w:hyperlink r:id="rId9" w:history="1">
        <w:r w:rsidR="00714B16" w:rsidRPr="00F44E7A">
          <w:rPr>
            <w:rStyle w:val="Hipervnculo"/>
            <w:rFonts w:asciiTheme="minorHAnsi" w:eastAsiaTheme="minorEastAsia" w:hAnsiTheme="minorHAnsi" w:cstheme="minorHAnsi"/>
            <w:color w:val="FF0000"/>
            <w:u w:val="none"/>
            <w:lang w:val="es-MX" w:eastAsia="zh-CN" w:bidi="hi-IN"/>
          </w:rPr>
          <w:t>santf22@hotmail.com</w:t>
        </w:r>
      </w:hyperlink>
    </w:p>
    <w:p w14:paraId="5A12039A" w14:textId="77777777" w:rsidR="007432A6" w:rsidRDefault="007432A6" w:rsidP="00F44E7A">
      <w:pPr>
        <w:spacing w:line="276" w:lineRule="auto"/>
        <w:jc w:val="right"/>
        <w:rPr>
          <w:rStyle w:val="Hipervnculo"/>
          <w:rFonts w:cstheme="minorHAnsi"/>
          <w:color w:val="FF0000"/>
          <w:szCs w:val="22"/>
          <w:lang w:val="es-ES_tradnl" w:eastAsia="es-ES_tradnl"/>
        </w:rPr>
      </w:pPr>
      <w:r>
        <w:t>https://orcid.org/0000-0003-3854-9405</w:t>
      </w:r>
    </w:p>
    <w:p w14:paraId="1BC47FBB" w14:textId="77777777" w:rsidR="007432A6" w:rsidRDefault="007432A6" w:rsidP="00F44E7A">
      <w:pPr>
        <w:spacing w:line="276" w:lineRule="auto"/>
        <w:jc w:val="right"/>
      </w:pPr>
    </w:p>
    <w:p w14:paraId="66F0C802" w14:textId="17ADAD61" w:rsidR="00D613F4" w:rsidRPr="00F44E7A" w:rsidRDefault="00D613F4" w:rsidP="00F44E7A">
      <w:pPr>
        <w:spacing w:line="276" w:lineRule="auto"/>
        <w:jc w:val="right"/>
        <w:rPr>
          <w:rFonts w:ascii="Calibri" w:eastAsia="Calibri" w:hAnsi="Calibri" w:cs="Calibri"/>
          <w:b/>
          <w:lang w:eastAsia="en-US"/>
        </w:rPr>
      </w:pPr>
      <w:r w:rsidRPr="00F44E7A">
        <w:rPr>
          <w:rFonts w:ascii="Calibri" w:eastAsia="Calibri" w:hAnsi="Calibri" w:cs="Calibri"/>
          <w:b/>
          <w:lang w:eastAsia="en-US"/>
        </w:rPr>
        <w:t>Adriana Lorena Íñiguez Carrillo</w:t>
      </w:r>
    </w:p>
    <w:p w14:paraId="3E35EE30" w14:textId="00D574AD" w:rsidR="00D613F4" w:rsidRPr="00DE17CB" w:rsidRDefault="00F44E7A" w:rsidP="00F44E7A">
      <w:pPr>
        <w:spacing w:line="276" w:lineRule="auto"/>
        <w:jc w:val="right"/>
      </w:pPr>
      <w:r w:rsidRPr="00DE17CB">
        <w:t>Universidad de Guadalajara</w:t>
      </w:r>
      <w:r>
        <w:t xml:space="preserve">, </w:t>
      </w:r>
      <w:r w:rsidRPr="00DE17CB">
        <w:t>México</w:t>
      </w:r>
    </w:p>
    <w:p w14:paraId="35FF6BC6" w14:textId="1DFA5B32" w:rsidR="00D613F4" w:rsidRPr="00F44E7A" w:rsidRDefault="00D613F4" w:rsidP="00F44E7A">
      <w:pPr>
        <w:spacing w:line="276" w:lineRule="auto"/>
        <w:jc w:val="right"/>
        <w:rPr>
          <w:rStyle w:val="Hipervnculo"/>
          <w:rFonts w:asciiTheme="minorHAnsi" w:eastAsiaTheme="minorEastAsia" w:hAnsiTheme="minorHAnsi" w:cstheme="minorHAnsi"/>
          <w:color w:val="FF0000"/>
          <w:u w:val="none"/>
          <w:lang w:val="es-MX" w:eastAsia="zh-CN" w:bidi="hi-IN"/>
        </w:rPr>
      </w:pPr>
      <w:r w:rsidRPr="00F44E7A">
        <w:rPr>
          <w:rStyle w:val="Hipervnculo"/>
          <w:rFonts w:asciiTheme="minorHAnsi" w:eastAsiaTheme="minorEastAsia" w:hAnsiTheme="minorHAnsi" w:cstheme="minorHAnsi"/>
          <w:color w:val="FF0000"/>
          <w:u w:val="none"/>
          <w:lang w:val="es-MX" w:eastAsia="zh-CN" w:bidi="hi-IN"/>
        </w:rPr>
        <w:t>adriana.carrillo@cusur.udg.mx</w:t>
      </w:r>
    </w:p>
    <w:p w14:paraId="13EAC201" w14:textId="5B536784" w:rsidR="00D613F4" w:rsidRDefault="00A80EE3" w:rsidP="00F44E7A">
      <w:pPr>
        <w:autoSpaceDE w:val="0"/>
        <w:autoSpaceDN w:val="0"/>
        <w:adjustRightInd w:val="0"/>
        <w:spacing w:line="276" w:lineRule="auto"/>
        <w:jc w:val="right"/>
      </w:pPr>
      <w:r w:rsidRPr="00A80EE3">
        <w:t>https://orcid.org/0000-0001-9753-716X</w:t>
      </w:r>
    </w:p>
    <w:p w14:paraId="391C5F83" w14:textId="1088E64E" w:rsidR="00CC18F1" w:rsidRDefault="00CC18F1" w:rsidP="001454C6">
      <w:pPr>
        <w:autoSpaceDE w:val="0"/>
        <w:autoSpaceDN w:val="0"/>
        <w:adjustRightInd w:val="0"/>
        <w:jc w:val="both"/>
      </w:pPr>
    </w:p>
    <w:p w14:paraId="3E777B75" w14:textId="77777777" w:rsidR="003776A2" w:rsidRDefault="003776A2" w:rsidP="001454C6">
      <w:pPr>
        <w:autoSpaceDE w:val="0"/>
        <w:autoSpaceDN w:val="0"/>
        <w:adjustRightInd w:val="0"/>
        <w:jc w:val="both"/>
        <w:rPr>
          <w:rStyle w:val="Textoennegrita"/>
          <w:rFonts w:ascii="Arial" w:hAnsi="Arial" w:cs="Arial"/>
          <w:i/>
          <w:iCs/>
          <w:color w:val="999999"/>
          <w:shd w:val="clear" w:color="auto" w:fill="FAFAFA"/>
        </w:rPr>
      </w:pPr>
    </w:p>
    <w:p w14:paraId="1B55A27E" w14:textId="5C3246A6" w:rsidR="003776A2" w:rsidRPr="00F44E7A" w:rsidRDefault="00BB2FA9" w:rsidP="00F44E7A">
      <w:pPr>
        <w:rPr>
          <w:rFonts w:ascii="Calibri" w:hAnsi="Calibri" w:cs="Calibri"/>
          <w:b/>
          <w:color w:val="000000"/>
          <w:sz w:val="28"/>
          <w:szCs w:val="28"/>
          <w:lang w:val="es-ES_tradnl" w:eastAsia="es-MX"/>
        </w:rPr>
      </w:pPr>
      <w:r w:rsidRPr="00F44E7A">
        <w:rPr>
          <w:rFonts w:ascii="Calibri" w:hAnsi="Calibri" w:cs="Calibri"/>
          <w:b/>
          <w:color w:val="000000"/>
          <w:sz w:val="28"/>
          <w:szCs w:val="28"/>
          <w:lang w:val="es-ES_tradnl" w:eastAsia="es-MX"/>
        </w:rPr>
        <w:t>R</w:t>
      </w:r>
      <w:r w:rsidR="006E10DF" w:rsidRPr="00F44E7A">
        <w:rPr>
          <w:rFonts w:ascii="Calibri" w:hAnsi="Calibri" w:cs="Calibri"/>
          <w:b/>
          <w:color w:val="000000"/>
          <w:sz w:val="28"/>
          <w:szCs w:val="28"/>
          <w:lang w:val="es-ES_tradnl" w:eastAsia="es-MX"/>
        </w:rPr>
        <w:t>esumen</w:t>
      </w:r>
    </w:p>
    <w:p w14:paraId="279209F3" w14:textId="6B38E207" w:rsidR="003776A2" w:rsidRPr="00B15072" w:rsidRDefault="003776A2" w:rsidP="00964916">
      <w:pPr>
        <w:spacing w:line="360" w:lineRule="auto"/>
        <w:jc w:val="both"/>
      </w:pPr>
      <w:r w:rsidRPr="00B15072">
        <w:rPr>
          <w:rFonts w:eastAsia="MS Mincho"/>
          <w:lang w:val="es-ES_tradnl"/>
        </w:rPr>
        <w:t xml:space="preserve">Se asume como punto de partida la necesidad de explorar el proceso enseñanza-aprendizaje en la asignatura </w:t>
      </w:r>
      <w:r w:rsidR="006E10DF" w:rsidRPr="00B15072">
        <w:rPr>
          <w:rFonts w:eastAsia="MS Mincho"/>
          <w:lang w:val="es-ES_tradnl"/>
        </w:rPr>
        <w:t xml:space="preserve">de </w:t>
      </w:r>
      <w:r w:rsidRPr="00B15072">
        <w:rPr>
          <w:rFonts w:eastAsia="MS Mincho"/>
          <w:lang w:val="es-ES_tradnl"/>
        </w:rPr>
        <w:t xml:space="preserve">estadística. Se hace preciso conocer la especificidad de los contextos educativos para incorporar métodos de enseñanza adaptados a la estadística, a la que no siempre se pueden transferir los principios generales de la enseñanza de las matemáticas. </w:t>
      </w:r>
      <w:r w:rsidR="006E10DF" w:rsidRPr="00B15072">
        <w:rPr>
          <w:rFonts w:eastAsia="MS Mincho"/>
          <w:lang w:val="es-ES_tradnl"/>
        </w:rPr>
        <w:t>El p</w:t>
      </w:r>
      <w:r w:rsidR="00232AFB">
        <w:rPr>
          <w:rFonts w:eastAsia="MS Mincho"/>
          <w:lang w:val="es-ES_tradnl"/>
        </w:rPr>
        <w:t>ropósito del presente estudio fue</w:t>
      </w:r>
      <w:r w:rsidR="006E10DF" w:rsidRPr="00B15072">
        <w:rPr>
          <w:rFonts w:eastAsia="MS Mincho"/>
          <w:lang w:val="es-ES_tradnl"/>
        </w:rPr>
        <w:t xml:space="preserve"> a</w:t>
      </w:r>
      <w:r w:rsidRPr="00B15072">
        <w:rPr>
          <w:rFonts w:eastAsia="MS Mincho"/>
          <w:lang w:val="es-ES_tradnl"/>
        </w:rPr>
        <w:t>naliza</w:t>
      </w:r>
      <w:r w:rsidR="006E10DF" w:rsidRPr="00B15072">
        <w:rPr>
          <w:rFonts w:eastAsia="MS Mincho"/>
          <w:lang w:val="es-ES_tradnl"/>
        </w:rPr>
        <w:t>r</w:t>
      </w:r>
      <w:r w:rsidRPr="00B15072">
        <w:rPr>
          <w:rFonts w:eastAsia="MS Mincho"/>
          <w:lang w:val="es-ES_tradnl"/>
        </w:rPr>
        <w:t xml:space="preserve"> el rendim</w:t>
      </w:r>
      <w:r w:rsidR="006E10DF" w:rsidRPr="00B15072">
        <w:rPr>
          <w:rFonts w:eastAsia="MS Mincho"/>
          <w:lang w:val="es-ES_tradnl"/>
        </w:rPr>
        <w:t>iento académico de alumnos de dos</w:t>
      </w:r>
      <w:r w:rsidRPr="00B15072">
        <w:rPr>
          <w:rFonts w:eastAsia="MS Mincho"/>
          <w:lang w:val="es-ES_tradnl"/>
        </w:rPr>
        <w:t xml:space="preserve"> programa</w:t>
      </w:r>
      <w:r w:rsidR="006E10DF" w:rsidRPr="00B15072">
        <w:rPr>
          <w:rFonts w:eastAsia="MS Mincho"/>
          <w:lang w:val="es-ES_tradnl"/>
        </w:rPr>
        <w:t>s</w:t>
      </w:r>
      <w:r w:rsidRPr="00B15072">
        <w:rPr>
          <w:rFonts w:eastAsia="MS Mincho"/>
          <w:lang w:val="es-ES_tradnl"/>
        </w:rPr>
        <w:t xml:space="preserve"> universitario</w:t>
      </w:r>
      <w:r w:rsidR="006E10DF" w:rsidRPr="00B15072">
        <w:rPr>
          <w:rFonts w:eastAsia="MS Mincho"/>
          <w:lang w:val="es-ES_tradnl"/>
        </w:rPr>
        <w:t>s que no tienen orientación matemática</w:t>
      </w:r>
      <w:r w:rsidRPr="00B15072">
        <w:rPr>
          <w:rFonts w:eastAsia="MS Mincho"/>
          <w:lang w:val="es-ES_tradnl"/>
        </w:rPr>
        <w:t>, con fundamento en la Teoría de la Formac</w:t>
      </w:r>
      <w:r w:rsidR="00C60A14" w:rsidRPr="00B15072">
        <w:rPr>
          <w:rFonts w:eastAsia="MS Mincho"/>
          <w:lang w:val="es-ES_tradnl"/>
        </w:rPr>
        <w:t>ión por Etapas de las Acciones m</w:t>
      </w:r>
      <w:r w:rsidRPr="00B15072">
        <w:rPr>
          <w:rFonts w:eastAsia="MS Mincho"/>
          <w:lang w:val="es-ES_tradnl"/>
        </w:rPr>
        <w:t>e</w:t>
      </w:r>
      <w:r w:rsidR="00C60A14" w:rsidRPr="00B15072">
        <w:rPr>
          <w:rFonts w:eastAsia="MS Mincho"/>
          <w:lang w:val="es-ES_tradnl"/>
        </w:rPr>
        <w:t>n</w:t>
      </w:r>
      <w:r w:rsidRPr="00B15072">
        <w:rPr>
          <w:rFonts w:eastAsia="MS Mincho"/>
          <w:lang w:val="es-ES_tradnl"/>
        </w:rPr>
        <w:t xml:space="preserve">tales, se discute la pertinencia del uso de </w:t>
      </w:r>
      <w:r w:rsidR="009F70F5">
        <w:rPr>
          <w:rFonts w:eastAsia="MS Mincho"/>
          <w:lang w:val="es-ES_tradnl"/>
        </w:rPr>
        <w:t xml:space="preserve">las tecnologías de la información y comunicación </w:t>
      </w:r>
      <w:r w:rsidR="006E10DF" w:rsidRPr="00B15072">
        <w:rPr>
          <w:rFonts w:eastAsia="MS Mincho"/>
          <w:lang w:val="es-ES_tradnl"/>
        </w:rPr>
        <w:t>y m-</w:t>
      </w:r>
      <w:proofErr w:type="spellStart"/>
      <w:r w:rsidR="006E10DF" w:rsidRPr="00B15072">
        <w:rPr>
          <w:rFonts w:eastAsia="MS Mincho"/>
          <w:lang w:val="es-ES_tradnl"/>
        </w:rPr>
        <w:t>learning</w:t>
      </w:r>
      <w:proofErr w:type="spellEnd"/>
      <w:r w:rsidR="006E10DF" w:rsidRPr="00B15072">
        <w:rPr>
          <w:rFonts w:eastAsia="MS Mincho"/>
          <w:lang w:val="es-ES_tradnl"/>
        </w:rPr>
        <w:t xml:space="preserve"> empleando una aplicación </w:t>
      </w:r>
      <w:r w:rsidRPr="00B15072">
        <w:rPr>
          <w:rFonts w:eastAsia="MS Mincho"/>
          <w:lang w:val="es-ES_tradnl"/>
        </w:rPr>
        <w:t xml:space="preserve">en la </w:t>
      </w:r>
      <w:r w:rsidR="006E10DF" w:rsidRPr="00B15072">
        <w:rPr>
          <w:rFonts w:eastAsia="MS Mincho"/>
          <w:lang w:val="es-ES_tradnl"/>
        </w:rPr>
        <w:t xml:space="preserve">obtención de datos, </w:t>
      </w:r>
      <w:r w:rsidRPr="00B15072">
        <w:rPr>
          <w:rFonts w:eastAsia="MS Mincho"/>
          <w:lang w:val="es-ES_tradnl"/>
        </w:rPr>
        <w:t>comprensión e interpretación de estadística descriptiva</w:t>
      </w:r>
      <w:r w:rsidR="00722E31" w:rsidRPr="00B15072">
        <w:rPr>
          <w:rFonts w:eastAsia="MS Mincho"/>
          <w:lang w:val="es-ES_tradnl"/>
        </w:rPr>
        <w:t xml:space="preserve">. </w:t>
      </w:r>
      <w:r w:rsidR="00722E31" w:rsidRPr="00B15072">
        <w:t>El estudio se enmarca dentro de un enfoque cuantitativo, pues a travé</w:t>
      </w:r>
      <w:r w:rsidR="00232AFB">
        <w:t>s de una triangulación se recolecta, analiza y vinculan</w:t>
      </w:r>
      <w:r w:rsidR="00722E31" w:rsidRPr="00B15072">
        <w:t xml:space="preserve"> los datos cuantitativos para la comprensión e interpretació</w:t>
      </w:r>
      <w:r w:rsidR="00232AFB">
        <w:t xml:space="preserve">n más amplia y profunda del </w:t>
      </w:r>
      <w:r w:rsidR="00722E31" w:rsidRPr="00B15072">
        <w:t>aprendizaje de las medidas de tendencia central y la desviación estándar, y su diseño es cuasi-experimental.</w:t>
      </w:r>
    </w:p>
    <w:p w14:paraId="4547F574" w14:textId="02919759" w:rsidR="00722E31" w:rsidRPr="00B15072" w:rsidRDefault="00722E31" w:rsidP="00964916">
      <w:pPr>
        <w:spacing w:line="360" w:lineRule="auto"/>
        <w:jc w:val="both"/>
        <w:rPr>
          <w:lang w:val="es-MX"/>
        </w:rPr>
      </w:pPr>
      <w:r w:rsidRPr="00B15072">
        <w:rPr>
          <w:lang w:val="es-MX"/>
        </w:rPr>
        <w:t>Los resultados evidencian el logro de los propósitos o parte de los propósitos de la estrategia de aprendizaje, pues en este estudio los alumnos alcanzaron a obtener el dato deseado y analizar la toma de decisiones utilizando el dato</w:t>
      </w:r>
      <w:r w:rsidR="00232AFB">
        <w:rPr>
          <w:lang w:val="es-MX"/>
        </w:rPr>
        <w:t xml:space="preserve"> logrado</w:t>
      </w:r>
      <w:r w:rsidRPr="00B15072">
        <w:rPr>
          <w:lang w:val="es-MX"/>
        </w:rPr>
        <w:t>.  Situación que fue facilitada por la</w:t>
      </w:r>
      <w:r w:rsidR="00232AFB">
        <w:rPr>
          <w:lang w:val="es-MX"/>
        </w:rPr>
        <w:t xml:space="preserve"> </w:t>
      </w:r>
      <w:r w:rsidR="00232AFB">
        <w:rPr>
          <w:lang w:val="es-MX"/>
        </w:rPr>
        <w:lastRenderedPageBreak/>
        <w:t xml:space="preserve">aplicación para </w:t>
      </w:r>
      <w:r w:rsidR="00C91C50">
        <w:rPr>
          <w:lang w:val="es-MX"/>
        </w:rPr>
        <w:t>móviles</w:t>
      </w:r>
      <w:r w:rsidRPr="00B15072">
        <w:rPr>
          <w:lang w:val="es-MX"/>
        </w:rPr>
        <w:t xml:space="preserve"> </w:t>
      </w:r>
      <w:r w:rsidR="00232AFB">
        <w:rPr>
          <w:lang w:val="es-MX"/>
        </w:rPr>
        <w:t>“</w:t>
      </w:r>
      <w:r w:rsidRPr="00B15072">
        <w:rPr>
          <w:lang w:val="es-MX"/>
        </w:rPr>
        <w:t>C</w:t>
      </w:r>
      <w:r w:rsidR="00232AFB">
        <w:rPr>
          <w:lang w:val="es-MX"/>
        </w:rPr>
        <w:t xml:space="preserve">alculadora </w:t>
      </w:r>
      <w:r w:rsidRPr="00B15072">
        <w:rPr>
          <w:lang w:val="es-MX"/>
        </w:rPr>
        <w:t>E</w:t>
      </w:r>
      <w:r w:rsidR="009F70F5">
        <w:rPr>
          <w:lang w:val="es-MX"/>
        </w:rPr>
        <w:t xml:space="preserve">stadística y Probabilidad” </w:t>
      </w:r>
      <w:r w:rsidRPr="00B15072">
        <w:rPr>
          <w:lang w:val="es-MX"/>
        </w:rPr>
        <w:t>al ahorrar tiempo para la obtención del dato de la desviación estándar y poder analizar la toma de decisiones.</w:t>
      </w:r>
      <w:r w:rsidR="00D361E8" w:rsidRPr="00D361E8">
        <w:t xml:space="preserve"> </w:t>
      </w:r>
      <w:r w:rsidR="00D61E42">
        <w:rPr>
          <w:lang w:val="es-MX"/>
        </w:rPr>
        <w:t>E</w:t>
      </w:r>
      <w:r w:rsidR="00D361E8" w:rsidRPr="00D361E8">
        <w:rPr>
          <w:lang w:val="es-MX"/>
        </w:rPr>
        <w:t xml:space="preserve">l grupo experimental al utilizar la </w:t>
      </w:r>
      <w:r w:rsidR="009F70F5" w:rsidRPr="00B15072">
        <w:rPr>
          <w:lang w:val="es-MX"/>
        </w:rPr>
        <w:t>C</w:t>
      </w:r>
      <w:r w:rsidR="009F70F5">
        <w:rPr>
          <w:lang w:val="es-MX"/>
        </w:rPr>
        <w:t xml:space="preserve">alculadora </w:t>
      </w:r>
      <w:r w:rsidR="009F70F5" w:rsidRPr="00B15072">
        <w:rPr>
          <w:lang w:val="es-MX"/>
        </w:rPr>
        <w:t>E</w:t>
      </w:r>
      <w:r w:rsidR="009F70F5">
        <w:rPr>
          <w:lang w:val="es-MX"/>
        </w:rPr>
        <w:t>stadística y Probabilidad</w:t>
      </w:r>
      <w:r w:rsidR="00D361E8" w:rsidRPr="00D361E8">
        <w:rPr>
          <w:lang w:val="es-MX"/>
        </w:rPr>
        <w:t xml:space="preserve"> pudieron obtener prácticamente los resultados de la desviación estándar en la totalidad, mientras que el grupo control</w:t>
      </w:r>
      <w:r w:rsidR="00232AFB">
        <w:rPr>
          <w:lang w:val="es-MX"/>
        </w:rPr>
        <w:t>, para un primer momento,</w:t>
      </w:r>
      <w:r w:rsidR="00C91C50">
        <w:rPr>
          <w:lang w:val="es-MX"/>
        </w:rPr>
        <w:t xml:space="preserve"> obtuvieron el 26</w:t>
      </w:r>
      <w:r w:rsidR="00D361E8" w:rsidRPr="00D361E8">
        <w:rPr>
          <w:lang w:val="es-MX"/>
        </w:rPr>
        <w:t>% de los estudiantes.</w:t>
      </w:r>
    </w:p>
    <w:p w14:paraId="625D260D" w14:textId="2AC8BD0C" w:rsidR="00722E31" w:rsidRPr="00B15072" w:rsidRDefault="00722E31" w:rsidP="003776A2">
      <w:pPr>
        <w:jc w:val="both"/>
        <w:rPr>
          <w:rFonts w:eastAsia="MS Mincho"/>
          <w:lang w:val="es-ES_tradnl"/>
        </w:rPr>
      </w:pPr>
      <w:r w:rsidRPr="00F44E7A">
        <w:rPr>
          <w:rFonts w:ascii="Calibri" w:hAnsi="Calibri" w:cs="Calibri"/>
          <w:b/>
          <w:color w:val="000000"/>
          <w:sz w:val="28"/>
          <w:szCs w:val="28"/>
          <w:lang w:val="es-ES_tradnl" w:eastAsia="es-MX"/>
        </w:rPr>
        <w:t>Palabras clave:</w:t>
      </w:r>
      <w:r w:rsidRPr="00B15072">
        <w:rPr>
          <w:lang w:val="es-MX"/>
        </w:rPr>
        <w:t xml:space="preserve"> </w:t>
      </w:r>
      <w:r w:rsidR="00C91C50">
        <w:rPr>
          <w:lang w:val="es-MX"/>
        </w:rPr>
        <w:t>E</w:t>
      </w:r>
      <w:r w:rsidRPr="00B15072">
        <w:rPr>
          <w:lang w:val="es-MX"/>
        </w:rPr>
        <w:t xml:space="preserve">nseñanza-aprendizaje, </w:t>
      </w:r>
      <w:r w:rsidR="00C91C50">
        <w:rPr>
          <w:lang w:val="es-MX"/>
        </w:rPr>
        <w:t>e</w:t>
      </w:r>
      <w:r w:rsidR="00C91C50" w:rsidRPr="00B15072">
        <w:rPr>
          <w:lang w:val="es-MX"/>
        </w:rPr>
        <w:t xml:space="preserve">stadística educativa, </w:t>
      </w:r>
      <w:r w:rsidRPr="00B15072">
        <w:rPr>
          <w:lang w:val="es-MX"/>
        </w:rPr>
        <w:t>m-</w:t>
      </w:r>
      <w:proofErr w:type="spellStart"/>
      <w:r w:rsidRPr="00B15072">
        <w:rPr>
          <w:lang w:val="es-MX"/>
        </w:rPr>
        <w:t>learning</w:t>
      </w:r>
      <w:proofErr w:type="spellEnd"/>
    </w:p>
    <w:p w14:paraId="352A1D67" w14:textId="6C02BFEA" w:rsidR="003776A2" w:rsidRPr="00B15072" w:rsidRDefault="003776A2" w:rsidP="001454C6"/>
    <w:p w14:paraId="40897735" w14:textId="74AF0830" w:rsidR="00722E31" w:rsidRPr="00B15072" w:rsidRDefault="00722E31" w:rsidP="001454C6"/>
    <w:p w14:paraId="5A9928F6" w14:textId="6D7D9EBD" w:rsidR="00722E31" w:rsidRPr="00F44E7A" w:rsidRDefault="00722E31" w:rsidP="00F44E7A">
      <w:pPr>
        <w:spacing w:line="360" w:lineRule="auto"/>
        <w:rPr>
          <w:rFonts w:ascii="Calibri" w:hAnsi="Calibri" w:cs="Calibri"/>
          <w:b/>
          <w:color w:val="000000"/>
          <w:sz w:val="28"/>
          <w:szCs w:val="28"/>
          <w:lang w:val="es-ES_tradnl" w:eastAsia="es-MX"/>
        </w:rPr>
      </w:pPr>
      <w:proofErr w:type="spellStart"/>
      <w:r w:rsidRPr="00F44E7A">
        <w:rPr>
          <w:rFonts w:ascii="Calibri" w:hAnsi="Calibri" w:cs="Calibri"/>
          <w:b/>
          <w:color w:val="000000"/>
          <w:sz w:val="28"/>
          <w:szCs w:val="28"/>
          <w:lang w:val="es-ES_tradnl" w:eastAsia="es-MX"/>
        </w:rPr>
        <w:t>Abstract</w:t>
      </w:r>
      <w:proofErr w:type="spellEnd"/>
    </w:p>
    <w:p w14:paraId="64BA2090" w14:textId="7C2EED08" w:rsidR="00722E31" w:rsidRPr="00B15072" w:rsidRDefault="00722E31" w:rsidP="00722E31">
      <w:pPr>
        <w:spacing w:line="360" w:lineRule="auto"/>
        <w:jc w:val="both"/>
        <w:rPr>
          <w:color w:val="000000"/>
          <w:szCs w:val="28"/>
          <w:lang w:val="es-ES_tradnl" w:eastAsia="es-MX"/>
        </w:rPr>
      </w:pP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need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explore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teaching-learning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process</w:t>
      </w:r>
      <w:proofErr w:type="spellEnd"/>
      <w:r w:rsidRPr="00B15072">
        <w:rPr>
          <w:color w:val="000000"/>
          <w:szCs w:val="28"/>
          <w:lang w:val="es-ES_tradnl" w:eastAsia="es-MX"/>
        </w:rPr>
        <w:t xml:space="preserve"> in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subject</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statistics</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assumed</w:t>
      </w:r>
      <w:proofErr w:type="spellEnd"/>
      <w:r w:rsidRPr="00B15072">
        <w:rPr>
          <w:color w:val="000000"/>
          <w:szCs w:val="28"/>
          <w:lang w:val="es-ES_tradnl" w:eastAsia="es-MX"/>
        </w:rPr>
        <w:t xml:space="preserve"> as a </w:t>
      </w:r>
      <w:proofErr w:type="spellStart"/>
      <w:r w:rsidRPr="00B15072">
        <w:rPr>
          <w:color w:val="000000"/>
          <w:szCs w:val="28"/>
          <w:lang w:val="es-ES_tradnl" w:eastAsia="es-MX"/>
        </w:rPr>
        <w:t>starting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point</w:t>
      </w:r>
      <w:proofErr w:type="spellEnd"/>
      <w:r w:rsidRPr="00B15072">
        <w:rPr>
          <w:color w:val="000000"/>
          <w:szCs w:val="28"/>
          <w:lang w:val="es-ES_tradnl" w:eastAsia="es-MX"/>
        </w:rPr>
        <w:t xml:space="preserve">. </w:t>
      </w:r>
      <w:proofErr w:type="spellStart"/>
      <w:r w:rsidRPr="00B15072">
        <w:rPr>
          <w:color w:val="000000"/>
          <w:szCs w:val="28"/>
          <w:lang w:val="es-ES_tradnl" w:eastAsia="es-MX"/>
        </w:rPr>
        <w:t>It</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necessary</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know</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specificity</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educational</w:t>
      </w:r>
      <w:proofErr w:type="spellEnd"/>
      <w:r w:rsidRPr="00B15072">
        <w:rPr>
          <w:color w:val="000000"/>
          <w:szCs w:val="28"/>
          <w:lang w:val="es-ES_tradnl" w:eastAsia="es-MX"/>
        </w:rPr>
        <w:t xml:space="preserve"> </w:t>
      </w:r>
      <w:proofErr w:type="spellStart"/>
      <w:r w:rsidRPr="00B15072">
        <w:rPr>
          <w:color w:val="000000"/>
          <w:szCs w:val="28"/>
          <w:lang w:val="es-ES_tradnl" w:eastAsia="es-MX"/>
        </w:rPr>
        <w:t>contexts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incorporate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teaching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methods</w:t>
      </w:r>
      <w:proofErr w:type="spellEnd"/>
      <w:r w:rsidRPr="00B15072">
        <w:rPr>
          <w:color w:val="000000"/>
          <w:szCs w:val="28"/>
          <w:lang w:val="es-ES_tradnl" w:eastAsia="es-MX"/>
        </w:rPr>
        <w:t xml:space="preserve"> </w:t>
      </w:r>
      <w:proofErr w:type="spellStart"/>
      <w:r w:rsidRPr="00B15072">
        <w:rPr>
          <w:color w:val="000000"/>
          <w:szCs w:val="28"/>
          <w:lang w:val="es-ES_tradnl" w:eastAsia="es-MX"/>
        </w:rPr>
        <w:t>adapted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statistics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which</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general </w:t>
      </w:r>
      <w:proofErr w:type="spellStart"/>
      <w:r w:rsidRPr="00B15072">
        <w:rPr>
          <w:color w:val="000000"/>
          <w:szCs w:val="28"/>
          <w:lang w:val="es-ES_tradnl" w:eastAsia="es-MX"/>
        </w:rPr>
        <w:t>principles</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mathematics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teaching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cannot</w:t>
      </w:r>
      <w:proofErr w:type="spellEnd"/>
      <w:r w:rsidRPr="00B15072">
        <w:rPr>
          <w:color w:val="000000"/>
          <w:szCs w:val="28"/>
          <w:lang w:val="es-ES_tradnl" w:eastAsia="es-MX"/>
        </w:rPr>
        <w:t xml:space="preserve"> </w:t>
      </w:r>
      <w:proofErr w:type="spellStart"/>
      <w:r w:rsidRPr="00B15072">
        <w:rPr>
          <w:color w:val="000000"/>
          <w:szCs w:val="28"/>
          <w:lang w:val="es-ES_tradnl" w:eastAsia="es-MX"/>
        </w:rPr>
        <w:t>always</w:t>
      </w:r>
      <w:proofErr w:type="spellEnd"/>
      <w:r w:rsidRPr="00B15072">
        <w:rPr>
          <w:color w:val="000000"/>
          <w:szCs w:val="28"/>
          <w:lang w:val="es-ES_tradnl" w:eastAsia="es-MX"/>
        </w:rPr>
        <w:t xml:space="preserve"> be </w:t>
      </w:r>
      <w:proofErr w:type="spellStart"/>
      <w:r w:rsidRPr="00B15072">
        <w:rPr>
          <w:color w:val="000000"/>
          <w:szCs w:val="28"/>
          <w:lang w:val="es-ES_tradnl" w:eastAsia="es-MX"/>
        </w:rPr>
        <w:t>transferred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purpose</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present</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study</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analyze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academic</w:t>
      </w:r>
      <w:proofErr w:type="spellEnd"/>
      <w:r w:rsidRPr="00B15072">
        <w:rPr>
          <w:color w:val="000000"/>
          <w:szCs w:val="28"/>
          <w:lang w:val="es-ES_tradnl" w:eastAsia="es-MX"/>
        </w:rPr>
        <w:t xml:space="preserve"> performance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students</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two</w:t>
      </w:r>
      <w:proofErr w:type="spellEnd"/>
      <w:r w:rsidRPr="00B15072">
        <w:rPr>
          <w:color w:val="000000"/>
          <w:szCs w:val="28"/>
          <w:lang w:val="es-ES_tradnl" w:eastAsia="es-MX"/>
        </w:rPr>
        <w:t xml:space="preserve"> </w:t>
      </w:r>
      <w:proofErr w:type="spellStart"/>
      <w:r w:rsidRPr="00B15072">
        <w:rPr>
          <w:color w:val="000000"/>
          <w:szCs w:val="28"/>
          <w:lang w:val="es-ES_tradnl" w:eastAsia="es-MX"/>
        </w:rPr>
        <w:t>university</w:t>
      </w:r>
      <w:proofErr w:type="spellEnd"/>
      <w:r w:rsidRPr="00B15072">
        <w:rPr>
          <w:color w:val="000000"/>
          <w:szCs w:val="28"/>
          <w:lang w:val="es-ES_tradnl" w:eastAsia="es-MX"/>
        </w:rPr>
        <w:t xml:space="preserve"> </w:t>
      </w:r>
      <w:proofErr w:type="spellStart"/>
      <w:r w:rsidRPr="00B15072">
        <w:rPr>
          <w:color w:val="000000"/>
          <w:szCs w:val="28"/>
          <w:lang w:val="es-ES_tradnl" w:eastAsia="es-MX"/>
        </w:rPr>
        <w:t>programs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that</w:t>
      </w:r>
      <w:proofErr w:type="spellEnd"/>
      <w:r w:rsidRPr="00B15072">
        <w:rPr>
          <w:color w:val="000000"/>
          <w:szCs w:val="28"/>
          <w:lang w:val="es-ES_tradnl" w:eastAsia="es-MX"/>
        </w:rPr>
        <w:t xml:space="preserve"> do </w:t>
      </w:r>
      <w:proofErr w:type="spellStart"/>
      <w:r w:rsidRPr="00B15072">
        <w:rPr>
          <w:color w:val="000000"/>
          <w:szCs w:val="28"/>
          <w:lang w:val="es-ES_tradnl" w:eastAsia="es-MX"/>
        </w:rPr>
        <w:t>not</w:t>
      </w:r>
      <w:proofErr w:type="spellEnd"/>
      <w:r w:rsidRPr="00B15072">
        <w:rPr>
          <w:color w:val="000000"/>
          <w:szCs w:val="28"/>
          <w:lang w:val="es-ES_tradnl" w:eastAsia="es-MX"/>
        </w:rPr>
        <w:t xml:space="preserve"> </w:t>
      </w:r>
      <w:proofErr w:type="spellStart"/>
      <w:r w:rsidRPr="00B15072">
        <w:rPr>
          <w:color w:val="000000"/>
          <w:szCs w:val="28"/>
          <w:lang w:val="es-ES_tradnl" w:eastAsia="es-MX"/>
        </w:rPr>
        <w:t>have</w:t>
      </w:r>
      <w:proofErr w:type="spellEnd"/>
      <w:r w:rsidRPr="00B15072">
        <w:rPr>
          <w:color w:val="000000"/>
          <w:szCs w:val="28"/>
          <w:lang w:val="es-ES_tradnl" w:eastAsia="es-MX"/>
        </w:rPr>
        <w:t xml:space="preserve"> </w:t>
      </w:r>
      <w:proofErr w:type="spellStart"/>
      <w:r w:rsidRPr="00B15072">
        <w:rPr>
          <w:color w:val="000000"/>
          <w:szCs w:val="28"/>
          <w:lang w:val="es-ES_tradnl" w:eastAsia="es-MX"/>
        </w:rPr>
        <w:t>mathematical</w:t>
      </w:r>
      <w:proofErr w:type="spellEnd"/>
      <w:r w:rsidRPr="00B15072">
        <w:rPr>
          <w:color w:val="000000"/>
          <w:szCs w:val="28"/>
          <w:lang w:val="es-ES_tradnl" w:eastAsia="es-MX"/>
        </w:rPr>
        <w:t xml:space="preserve"> </w:t>
      </w:r>
      <w:proofErr w:type="spellStart"/>
      <w:r w:rsidRPr="00B15072">
        <w:rPr>
          <w:color w:val="000000"/>
          <w:szCs w:val="28"/>
          <w:lang w:val="es-ES_tradnl" w:eastAsia="es-MX"/>
        </w:rPr>
        <w:t>orientation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base</w:t>
      </w:r>
      <w:r w:rsidR="00C60A14" w:rsidRPr="00B15072">
        <w:rPr>
          <w:color w:val="000000"/>
          <w:szCs w:val="28"/>
          <w:lang w:val="es-ES_tradnl" w:eastAsia="es-MX"/>
        </w:rPr>
        <w:t>d</w:t>
      </w:r>
      <w:proofErr w:type="spellEnd"/>
      <w:r w:rsidR="00C60A14" w:rsidRPr="00B15072">
        <w:rPr>
          <w:color w:val="000000"/>
          <w:szCs w:val="28"/>
          <w:lang w:val="es-ES_tradnl" w:eastAsia="es-MX"/>
        </w:rPr>
        <w:t xml:space="preserve"> </w:t>
      </w:r>
      <w:proofErr w:type="spellStart"/>
      <w:r w:rsidR="00C60A14" w:rsidRPr="00B15072">
        <w:rPr>
          <w:color w:val="000000"/>
          <w:szCs w:val="28"/>
          <w:lang w:val="es-ES_tradnl" w:eastAsia="es-MX"/>
        </w:rPr>
        <w:t>on</w:t>
      </w:r>
      <w:proofErr w:type="spellEnd"/>
      <w:r w:rsidR="00C60A14" w:rsidRPr="00B15072">
        <w:rPr>
          <w:color w:val="000000"/>
          <w:szCs w:val="28"/>
          <w:lang w:val="es-ES_tradnl" w:eastAsia="es-MX"/>
        </w:rPr>
        <w:t xml:space="preserve"> </w:t>
      </w:r>
      <w:proofErr w:type="spellStart"/>
      <w:r w:rsidR="00C60A14" w:rsidRPr="00B15072">
        <w:rPr>
          <w:color w:val="000000"/>
          <w:szCs w:val="28"/>
          <w:lang w:val="es-ES_tradnl" w:eastAsia="es-MX"/>
        </w:rPr>
        <w:t>the</w:t>
      </w:r>
      <w:proofErr w:type="spellEnd"/>
      <w:r w:rsidR="00C60A14" w:rsidRPr="00B15072">
        <w:rPr>
          <w:color w:val="000000"/>
          <w:szCs w:val="28"/>
          <w:lang w:val="es-ES_tradnl" w:eastAsia="es-MX"/>
        </w:rPr>
        <w:t xml:space="preserve"> </w:t>
      </w:r>
      <w:proofErr w:type="spellStart"/>
      <w:r w:rsidR="00C60A14" w:rsidRPr="00B15072">
        <w:rPr>
          <w:color w:val="000000"/>
          <w:szCs w:val="28"/>
          <w:lang w:val="es-ES_tradnl" w:eastAsia="es-MX"/>
        </w:rPr>
        <w:t>Theory</w:t>
      </w:r>
      <w:proofErr w:type="spellEnd"/>
      <w:r w:rsidR="00C60A14" w:rsidRPr="00B15072">
        <w:rPr>
          <w:color w:val="000000"/>
          <w:szCs w:val="28"/>
          <w:lang w:val="es-ES_tradnl" w:eastAsia="es-MX"/>
        </w:rPr>
        <w:t xml:space="preserve"> </w:t>
      </w:r>
      <w:proofErr w:type="spellStart"/>
      <w:r w:rsidR="00C60A14" w:rsidRPr="00B15072">
        <w:rPr>
          <w:color w:val="000000"/>
          <w:szCs w:val="28"/>
          <w:lang w:val="es-ES_tradnl" w:eastAsia="es-MX"/>
        </w:rPr>
        <w:t>of</w:t>
      </w:r>
      <w:proofErr w:type="spellEnd"/>
      <w:r w:rsidR="00C60A14" w:rsidRPr="00B15072">
        <w:rPr>
          <w:color w:val="000000"/>
          <w:szCs w:val="28"/>
          <w:lang w:val="es-ES_tradnl" w:eastAsia="es-MX"/>
        </w:rPr>
        <w:t xml:space="preserve"> Training </w:t>
      </w:r>
      <w:proofErr w:type="spellStart"/>
      <w:r w:rsidR="00C60A14" w:rsidRPr="00B15072">
        <w:rPr>
          <w:color w:val="000000"/>
          <w:szCs w:val="28"/>
          <w:lang w:val="es-ES_tradnl" w:eastAsia="es-MX"/>
        </w:rPr>
        <w:t>by</w:t>
      </w:r>
      <w:proofErr w:type="spellEnd"/>
      <w:r w:rsidR="00C60A14" w:rsidRPr="00B15072">
        <w:rPr>
          <w:color w:val="000000"/>
          <w:szCs w:val="28"/>
          <w:lang w:val="es-ES_tradnl" w:eastAsia="es-MX"/>
        </w:rPr>
        <w:t xml:space="preserve"> m</w:t>
      </w:r>
      <w:r w:rsidRPr="00B15072">
        <w:rPr>
          <w:color w:val="000000"/>
          <w:szCs w:val="28"/>
          <w:lang w:val="es-ES_tradnl" w:eastAsia="es-MX"/>
        </w:rPr>
        <w:t>e</w:t>
      </w:r>
      <w:r w:rsidR="00C60A14" w:rsidRPr="00B15072">
        <w:rPr>
          <w:color w:val="000000"/>
          <w:szCs w:val="28"/>
          <w:lang w:val="es-ES_tradnl" w:eastAsia="es-MX"/>
        </w:rPr>
        <w:t>n</w:t>
      </w:r>
      <w:r w:rsidRPr="00B15072">
        <w:rPr>
          <w:color w:val="000000"/>
          <w:szCs w:val="28"/>
          <w:lang w:val="es-ES_tradnl" w:eastAsia="es-MX"/>
        </w:rPr>
        <w:t xml:space="preserve">tal </w:t>
      </w:r>
      <w:proofErr w:type="spellStart"/>
      <w:r w:rsidRPr="00B15072">
        <w:rPr>
          <w:color w:val="000000"/>
          <w:szCs w:val="28"/>
          <w:lang w:val="es-ES_tradnl" w:eastAsia="es-MX"/>
        </w:rPr>
        <w:t>Action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Stages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relevance</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use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ICT and m-</w:t>
      </w:r>
      <w:proofErr w:type="spellStart"/>
      <w:r w:rsidRPr="00B15072">
        <w:rPr>
          <w:color w:val="000000"/>
          <w:szCs w:val="28"/>
          <w:lang w:val="es-ES_tradnl" w:eastAsia="es-MX"/>
        </w:rPr>
        <w:t>learning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discussed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using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an</w:t>
      </w:r>
      <w:proofErr w:type="spellEnd"/>
      <w:r w:rsidRPr="00B15072">
        <w:rPr>
          <w:color w:val="000000"/>
          <w:szCs w:val="28"/>
          <w:lang w:val="es-ES_tradnl" w:eastAsia="es-MX"/>
        </w:rPr>
        <w:t xml:space="preserve"> </w:t>
      </w:r>
      <w:proofErr w:type="spellStart"/>
      <w:r w:rsidRPr="00B15072">
        <w:rPr>
          <w:color w:val="000000"/>
          <w:szCs w:val="28"/>
          <w:lang w:val="es-ES_tradnl" w:eastAsia="es-MX"/>
        </w:rPr>
        <w:t>application</w:t>
      </w:r>
      <w:proofErr w:type="spellEnd"/>
      <w:r w:rsidRPr="00B15072">
        <w:rPr>
          <w:color w:val="000000"/>
          <w:szCs w:val="28"/>
          <w:lang w:val="es-ES_tradnl" w:eastAsia="es-MX"/>
        </w:rPr>
        <w:t xml:space="preserve"> in </w:t>
      </w:r>
      <w:proofErr w:type="spellStart"/>
      <w:r w:rsidRPr="00B15072">
        <w:rPr>
          <w:color w:val="000000"/>
          <w:szCs w:val="28"/>
          <w:lang w:val="es-ES_tradnl" w:eastAsia="es-MX"/>
        </w:rPr>
        <w:t>obtaining</w:t>
      </w:r>
      <w:proofErr w:type="spellEnd"/>
      <w:r w:rsidRPr="00B15072">
        <w:rPr>
          <w:color w:val="000000"/>
          <w:szCs w:val="28"/>
          <w:lang w:val="es-ES_tradnl" w:eastAsia="es-MX"/>
        </w:rPr>
        <w:t xml:space="preserve"> data, </w:t>
      </w:r>
      <w:proofErr w:type="spellStart"/>
      <w:r w:rsidRPr="00B15072">
        <w:rPr>
          <w:color w:val="000000"/>
          <w:szCs w:val="28"/>
          <w:lang w:val="es-ES_tradnl" w:eastAsia="es-MX"/>
        </w:rPr>
        <w:t>understanding</w:t>
      </w:r>
      <w:proofErr w:type="spellEnd"/>
      <w:r w:rsidRPr="00B15072">
        <w:rPr>
          <w:color w:val="000000"/>
          <w:szCs w:val="28"/>
          <w:lang w:val="es-ES_tradnl" w:eastAsia="es-MX"/>
        </w:rPr>
        <w:t xml:space="preserve"> and </w:t>
      </w:r>
      <w:proofErr w:type="spellStart"/>
      <w:r w:rsidRPr="00B15072">
        <w:rPr>
          <w:color w:val="000000"/>
          <w:szCs w:val="28"/>
          <w:lang w:val="es-ES_tradnl" w:eastAsia="es-MX"/>
        </w:rPr>
        <w:t>interpretation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descriptive</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statistics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study</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framed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within</w:t>
      </w:r>
      <w:proofErr w:type="spellEnd"/>
      <w:r w:rsidRPr="00B15072">
        <w:rPr>
          <w:color w:val="000000"/>
          <w:szCs w:val="28"/>
          <w:lang w:val="es-ES_tradnl" w:eastAsia="es-MX"/>
        </w:rPr>
        <w:t xml:space="preserve"> a </w:t>
      </w:r>
      <w:proofErr w:type="spellStart"/>
      <w:r w:rsidRPr="00B15072">
        <w:rPr>
          <w:color w:val="000000"/>
          <w:szCs w:val="28"/>
          <w:lang w:val="es-ES_tradnl" w:eastAsia="es-MX"/>
        </w:rPr>
        <w:t>quantitative</w:t>
      </w:r>
      <w:proofErr w:type="spellEnd"/>
      <w:r w:rsidRPr="00B15072">
        <w:rPr>
          <w:color w:val="000000"/>
          <w:szCs w:val="28"/>
          <w:lang w:val="es-ES_tradnl" w:eastAsia="es-MX"/>
        </w:rPr>
        <w:t xml:space="preserve"> </w:t>
      </w:r>
      <w:proofErr w:type="spellStart"/>
      <w:r w:rsidRPr="00B15072">
        <w:rPr>
          <w:color w:val="000000"/>
          <w:szCs w:val="28"/>
          <w:lang w:val="es-ES_tradnl" w:eastAsia="es-MX"/>
        </w:rPr>
        <w:t>approach</w:t>
      </w:r>
      <w:proofErr w:type="spellEnd"/>
      <w:r w:rsidRPr="00B15072">
        <w:rPr>
          <w:color w:val="000000"/>
          <w:szCs w:val="28"/>
          <w:lang w:val="es-ES_tradnl" w:eastAsia="es-MX"/>
        </w:rPr>
        <w:t xml:space="preserve">, </w:t>
      </w:r>
      <w:proofErr w:type="spellStart"/>
      <w:r w:rsidRPr="00B15072">
        <w:rPr>
          <w:color w:val="000000"/>
          <w:szCs w:val="28"/>
          <w:lang w:val="es-ES_tradnl" w:eastAsia="es-MX"/>
        </w:rPr>
        <w:t>because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through</w:t>
      </w:r>
      <w:proofErr w:type="spellEnd"/>
      <w:r w:rsidRPr="00B15072">
        <w:rPr>
          <w:color w:val="000000"/>
          <w:szCs w:val="28"/>
          <w:lang w:val="es-ES_tradnl" w:eastAsia="es-MX"/>
        </w:rPr>
        <w:t xml:space="preserve"> a </w:t>
      </w:r>
      <w:proofErr w:type="spellStart"/>
      <w:r w:rsidRPr="00B15072">
        <w:rPr>
          <w:color w:val="000000"/>
          <w:szCs w:val="28"/>
          <w:lang w:val="es-ES_tradnl" w:eastAsia="es-MX"/>
        </w:rPr>
        <w:t>triangulation</w:t>
      </w:r>
      <w:proofErr w:type="spellEnd"/>
      <w:r w:rsidRPr="00B15072">
        <w:rPr>
          <w:color w:val="000000"/>
          <w:szCs w:val="28"/>
          <w:lang w:val="es-ES_tradnl" w:eastAsia="es-MX"/>
        </w:rPr>
        <w:t xml:space="preserve"> </w:t>
      </w:r>
      <w:proofErr w:type="spellStart"/>
      <w:r w:rsidR="00B15072" w:rsidRPr="00B15072">
        <w:rPr>
          <w:color w:val="000000"/>
          <w:szCs w:val="28"/>
          <w:lang w:val="es-ES_tradnl" w:eastAsia="es-MX"/>
        </w:rPr>
        <w:t>it</w:t>
      </w:r>
      <w:proofErr w:type="spellEnd"/>
      <w:r w:rsidR="00C60A14" w:rsidRPr="00B15072">
        <w:rPr>
          <w:color w:val="000000"/>
          <w:szCs w:val="28"/>
          <w:lang w:val="es-ES_tradnl" w:eastAsia="es-MX"/>
        </w:rPr>
        <w:t xml:space="preserve"> </w:t>
      </w:r>
      <w:proofErr w:type="spellStart"/>
      <w:r w:rsidRPr="00B15072">
        <w:rPr>
          <w:color w:val="000000"/>
          <w:szCs w:val="28"/>
          <w:lang w:val="es-ES_tradnl" w:eastAsia="es-MX"/>
        </w:rPr>
        <w:t>want</w:t>
      </w:r>
      <w:r w:rsidR="00B15072" w:rsidRPr="00B15072">
        <w:rPr>
          <w:color w:val="000000"/>
          <w:szCs w:val="28"/>
          <w:lang w:val="es-ES_tradnl" w:eastAsia="es-MX"/>
        </w:rPr>
        <w:t>s</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collect</w:t>
      </w:r>
      <w:proofErr w:type="spellEnd"/>
      <w:r w:rsidRPr="00B15072">
        <w:rPr>
          <w:color w:val="000000"/>
          <w:szCs w:val="28"/>
          <w:lang w:val="es-ES_tradnl" w:eastAsia="es-MX"/>
        </w:rPr>
        <w:t xml:space="preserve">, </w:t>
      </w:r>
      <w:proofErr w:type="spellStart"/>
      <w:r w:rsidRPr="00B15072">
        <w:rPr>
          <w:color w:val="000000"/>
          <w:szCs w:val="28"/>
          <w:lang w:val="es-ES_tradnl" w:eastAsia="es-MX"/>
        </w:rPr>
        <w:t>analyze</w:t>
      </w:r>
      <w:proofErr w:type="spellEnd"/>
      <w:r w:rsidRPr="00B15072">
        <w:rPr>
          <w:color w:val="000000"/>
          <w:szCs w:val="28"/>
          <w:lang w:val="es-ES_tradnl" w:eastAsia="es-MX"/>
        </w:rPr>
        <w:t xml:space="preserve"> and link </w:t>
      </w:r>
      <w:proofErr w:type="spellStart"/>
      <w:r w:rsidRPr="00B15072">
        <w:rPr>
          <w:color w:val="000000"/>
          <w:szCs w:val="28"/>
          <w:lang w:val="es-ES_tradnl" w:eastAsia="es-MX"/>
        </w:rPr>
        <w:t>quantitative</w:t>
      </w:r>
      <w:proofErr w:type="spellEnd"/>
      <w:r w:rsidRPr="00B15072">
        <w:rPr>
          <w:color w:val="000000"/>
          <w:szCs w:val="28"/>
          <w:lang w:val="es-ES_tradnl" w:eastAsia="es-MX"/>
        </w:rPr>
        <w:t xml:space="preserve"> data </w:t>
      </w:r>
      <w:proofErr w:type="spellStart"/>
      <w:r w:rsidRPr="00B15072">
        <w:rPr>
          <w:color w:val="000000"/>
          <w:szCs w:val="28"/>
          <w:lang w:val="es-ES_tradnl" w:eastAsia="es-MX"/>
        </w:rPr>
        <w:t>for</w:t>
      </w:r>
      <w:proofErr w:type="spellEnd"/>
      <w:r w:rsidRPr="00B15072">
        <w:rPr>
          <w:color w:val="000000"/>
          <w:szCs w:val="28"/>
          <w:lang w:val="es-ES_tradnl" w:eastAsia="es-MX"/>
        </w:rPr>
        <w:t xml:space="preserve"> a </w:t>
      </w:r>
      <w:proofErr w:type="spellStart"/>
      <w:r w:rsidRPr="00B15072">
        <w:rPr>
          <w:color w:val="000000"/>
          <w:szCs w:val="28"/>
          <w:lang w:val="es-ES_tradnl" w:eastAsia="es-MX"/>
        </w:rPr>
        <w:t>broader</w:t>
      </w:r>
      <w:proofErr w:type="spellEnd"/>
      <w:r w:rsidRPr="00B15072">
        <w:rPr>
          <w:color w:val="000000"/>
          <w:szCs w:val="28"/>
          <w:lang w:val="es-ES_tradnl" w:eastAsia="es-MX"/>
        </w:rPr>
        <w:t xml:space="preserve"> and </w:t>
      </w:r>
      <w:proofErr w:type="spellStart"/>
      <w:r w:rsidRPr="00B15072">
        <w:rPr>
          <w:color w:val="000000"/>
          <w:szCs w:val="28"/>
          <w:lang w:val="es-ES_tradnl" w:eastAsia="es-MX"/>
        </w:rPr>
        <w:t>deeper</w:t>
      </w:r>
      <w:proofErr w:type="spellEnd"/>
      <w:r w:rsidRPr="00B15072">
        <w:rPr>
          <w:color w:val="000000"/>
          <w:szCs w:val="28"/>
          <w:lang w:val="es-ES_tradnl" w:eastAsia="es-MX"/>
        </w:rPr>
        <w:t xml:space="preserve"> </w:t>
      </w:r>
      <w:proofErr w:type="spellStart"/>
      <w:r w:rsidRPr="00B15072">
        <w:rPr>
          <w:color w:val="000000"/>
          <w:szCs w:val="28"/>
          <w:lang w:val="es-ES_tradnl" w:eastAsia="es-MX"/>
        </w:rPr>
        <w:t>understanding</w:t>
      </w:r>
      <w:proofErr w:type="spellEnd"/>
      <w:r w:rsidRPr="00B15072">
        <w:rPr>
          <w:color w:val="000000"/>
          <w:szCs w:val="28"/>
          <w:lang w:val="es-ES_tradnl" w:eastAsia="es-MX"/>
        </w:rPr>
        <w:t xml:space="preserve"> and </w:t>
      </w:r>
      <w:proofErr w:type="spellStart"/>
      <w:r w:rsidRPr="00B15072">
        <w:rPr>
          <w:color w:val="000000"/>
          <w:szCs w:val="28"/>
          <w:lang w:val="es-ES_tradnl" w:eastAsia="es-MX"/>
        </w:rPr>
        <w:t>interpretation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learning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central </w:t>
      </w:r>
      <w:proofErr w:type="spellStart"/>
      <w:r w:rsidRPr="00B15072">
        <w:rPr>
          <w:color w:val="000000"/>
          <w:szCs w:val="28"/>
          <w:lang w:val="es-ES_tradnl" w:eastAsia="es-MX"/>
        </w:rPr>
        <w:t>tendency</w:t>
      </w:r>
      <w:proofErr w:type="spellEnd"/>
      <w:r w:rsidRPr="00B15072">
        <w:rPr>
          <w:color w:val="000000"/>
          <w:szCs w:val="28"/>
          <w:lang w:val="es-ES_tradnl" w:eastAsia="es-MX"/>
        </w:rPr>
        <w:t xml:space="preserve"> </w:t>
      </w:r>
      <w:proofErr w:type="spellStart"/>
      <w:r w:rsidRPr="00B15072">
        <w:rPr>
          <w:color w:val="000000"/>
          <w:szCs w:val="28"/>
          <w:lang w:val="es-ES_tradnl" w:eastAsia="es-MX"/>
        </w:rPr>
        <w:t>measures</w:t>
      </w:r>
      <w:proofErr w:type="spellEnd"/>
      <w:r w:rsidRPr="00B15072">
        <w:rPr>
          <w:color w:val="000000"/>
          <w:szCs w:val="28"/>
          <w:lang w:val="es-ES_tradnl" w:eastAsia="es-MX"/>
        </w:rPr>
        <w:t xml:space="preserve"> and standard </w:t>
      </w:r>
      <w:proofErr w:type="spellStart"/>
      <w:r w:rsidRPr="00B15072">
        <w:rPr>
          <w:color w:val="000000"/>
          <w:szCs w:val="28"/>
          <w:lang w:val="es-ES_tradnl" w:eastAsia="es-MX"/>
        </w:rPr>
        <w:t>deviation</w:t>
      </w:r>
      <w:proofErr w:type="spellEnd"/>
      <w:r w:rsidRPr="00B15072">
        <w:rPr>
          <w:color w:val="000000"/>
          <w:szCs w:val="28"/>
          <w:lang w:val="es-ES_tradnl" w:eastAsia="es-MX"/>
        </w:rPr>
        <w:t xml:space="preserve">, and </w:t>
      </w:r>
      <w:proofErr w:type="spellStart"/>
      <w:r w:rsidRPr="00B15072">
        <w:rPr>
          <w:color w:val="000000"/>
          <w:szCs w:val="28"/>
          <w:lang w:val="es-ES_tradnl" w:eastAsia="es-MX"/>
        </w:rPr>
        <w:t>Its</w:t>
      </w:r>
      <w:proofErr w:type="spellEnd"/>
      <w:r w:rsidRPr="00B15072">
        <w:rPr>
          <w:color w:val="000000"/>
          <w:szCs w:val="28"/>
          <w:lang w:val="es-ES_tradnl" w:eastAsia="es-MX"/>
        </w:rPr>
        <w:t xml:space="preserve"> </w:t>
      </w:r>
      <w:proofErr w:type="spellStart"/>
      <w:r w:rsidRPr="00B15072">
        <w:rPr>
          <w:color w:val="000000"/>
          <w:szCs w:val="28"/>
          <w:lang w:val="es-ES_tradnl" w:eastAsia="es-MX"/>
        </w:rPr>
        <w:t>design</w:t>
      </w:r>
      <w:proofErr w:type="spellEnd"/>
      <w:r w:rsidRPr="00B15072">
        <w:rPr>
          <w:color w:val="000000"/>
          <w:szCs w:val="28"/>
          <w:lang w:val="es-ES_tradnl" w:eastAsia="es-MX"/>
        </w:rPr>
        <w:t xml:space="preserve"> </w:t>
      </w:r>
      <w:proofErr w:type="spellStart"/>
      <w:r w:rsidRPr="00B15072">
        <w:rPr>
          <w:color w:val="000000"/>
          <w:szCs w:val="28"/>
          <w:lang w:val="es-ES_tradnl" w:eastAsia="es-MX"/>
        </w:rPr>
        <w:t>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quasi</w:t>
      </w:r>
      <w:proofErr w:type="spellEnd"/>
      <w:r w:rsidRPr="00B15072">
        <w:rPr>
          <w:color w:val="000000"/>
          <w:szCs w:val="28"/>
          <w:lang w:val="es-ES_tradnl" w:eastAsia="es-MX"/>
        </w:rPr>
        <w:t>-experimental.</w:t>
      </w:r>
    </w:p>
    <w:p w14:paraId="073FA35D" w14:textId="3917633D" w:rsidR="00722E31" w:rsidRPr="00B15072" w:rsidRDefault="00722E31" w:rsidP="00722E31">
      <w:pPr>
        <w:spacing w:line="360" w:lineRule="auto"/>
        <w:jc w:val="both"/>
        <w:rPr>
          <w:color w:val="000000"/>
          <w:sz w:val="28"/>
          <w:szCs w:val="28"/>
          <w:lang w:val="es-ES_tradnl" w:eastAsia="es-MX"/>
        </w:rPr>
      </w:pP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results</w:t>
      </w:r>
      <w:proofErr w:type="spellEnd"/>
      <w:r w:rsidRPr="00B15072">
        <w:rPr>
          <w:color w:val="000000"/>
          <w:szCs w:val="28"/>
          <w:lang w:val="es-ES_tradnl" w:eastAsia="es-MX"/>
        </w:rPr>
        <w:t xml:space="preserve"> show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achievement</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purposes</w:t>
      </w:r>
      <w:proofErr w:type="spellEnd"/>
      <w:r w:rsidRPr="00B15072">
        <w:rPr>
          <w:color w:val="000000"/>
          <w:szCs w:val="28"/>
          <w:lang w:val="es-ES_tradnl" w:eastAsia="es-MX"/>
        </w:rPr>
        <w:t xml:space="preserve"> </w:t>
      </w:r>
      <w:proofErr w:type="spellStart"/>
      <w:r w:rsidRPr="00B15072">
        <w:rPr>
          <w:color w:val="000000"/>
          <w:szCs w:val="28"/>
          <w:lang w:val="es-ES_tradnl" w:eastAsia="es-MX"/>
        </w:rPr>
        <w:t>or</w:t>
      </w:r>
      <w:proofErr w:type="spellEnd"/>
      <w:r w:rsidRPr="00B15072">
        <w:rPr>
          <w:color w:val="000000"/>
          <w:szCs w:val="28"/>
          <w:lang w:val="es-ES_tradnl" w:eastAsia="es-MX"/>
        </w:rPr>
        <w:t xml:space="preserve"> </w:t>
      </w:r>
      <w:proofErr w:type="spellStart"/>
      <w:r w:rsidRPr="00B15072">
        <w:rPr>
          <w:color w:val="000000"/>
          <w:szCs w:val="28"/>
          <w:lang w:val="es-ES_tradnl" w:eastAsia="es-MX"/>
        </w:rPr>
        <w:t>part</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purposes</w:t>
      </w:r>
      <w:proofErr w:type="spellEnd"/>
      <w:r w:rsidRPr="00B15072">
        <w:rPr>
          <w:color w:val="000000"/>
          <w:szCs w:val="28"/>
          <w:lang w:val="es-ES_tradnl" w:eastAsia="es-MX"/>
        </w:rPr>
        <w:t xml:space="preserve"> </w:t>
      </w:r>
      <w:proofErr w:type="spellStart"/>
      <w:r w:rsidRPr="00B15072">
        <w:rPr>
          <w:color w:val="000000"/>
          <w:szCs w:val="28"/>
          <w:lang w:val="es-ES_tradnl" w:eastAsia="es-MX"/>
        </w:rPr>
        <w:t>of</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learning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strategy</w:t>
      </w:r>
      <w:proofErr w:type="spellEnd"/>
      <w:r w:rsidRPr="00B15072">
        <w:rPr>
          <w:color w:val="000000"/>
          <w:szCs w:val="28"/>
          <w:lang w:val="es-ES_tradnl" w:eastAsia="es-MX"/>
        </w:rPr>
        <w:t xml:space="preserve">, </w:t>
      </w:r>
      <w:proofErr w:type="spellStart"/>
      <w:r w:rsidRPr="00B15072">
        <w:rPr>
          <w:color w:val="000000"/>
          <w:szCs w:val="28"/>
          <w:lang w:val="es-ES_tradnl" w:eastAsia="es-MX"/>
        </w:rPr>
        <w:t>because</w:t>
      </w:r>
      <w:proofErr w:type="spellEnd"/>
      <w:r w:rsidRPr="00B15072">
        <w:rPr>
          <w:color w:val="000000"/>
          <w:szCs w:val="28"/>
          <w:lang w:val="es-ES_tradnl" w:eastAsia="es-MX"/>
        </w:rPr>
        <w:t xml:space="preserve"> in </w:t>
      </w:r>
      <w:proofErr w:type="spellStart"/>
      <w:r w:rsidRPr="00B15072">
        <w:rPr>
          <w:color w:val="000000"/>
          <w:szCs w:val="28"/>
          <w:lang w:val="es-ES_tradnl" w:eastAsia="es-MX"/>
        </w:rPr>
        <w:t>this</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study</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students</w:t>
      </w:r>
      <w:proofErr w:type="spellEnd"/>
      <w:r w:rsidRPr="00B15072">
        <w:rPr>
          <w:color w:val="000000"/>
          <w:szCs w:val="28"/>
          <w:lang w:val="es-ES_tradnl" w:eastAsia="es-MX"/>
        </w:rPr>
        <w:t xml:space="preserve"> </w:t>
      </w:r>
      <w:proofErr w:type="spellStart"/>
      <w:r w:rsidRPr="00B15072">
        <w:rPr>
          <w:color w:val="000000"/>
          <w:szCs w:val="28"/>
          <w:lang w:val="es-ES_tradnl" w:eastAsia="es-MX"/>
        </w:rPr>
        <w:t>managed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obtain</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desired</w:t>
      </w:r>
      <w:proofErr w:type="spellEnd"/>
      <w:r w:rsidRPr="00B15072">
        <w:rPr>
          <w:color w:val="000000"/>
          <w:szCs w:val="28"/>
          <w:lang w:val="es-ES_tradnl" w:eastAsia="es-MX"/>
        </w:rPr>
        <w:t xml:space="preserve"> data and </w:t>
      </w:r>
      <w:proofErr w:type="spellStart"/>
      <w:r w:rsidRPr="00B15072">
        <w:rPr>
          <w:color w:val="000000"/>
          <w:szCs w:val="28"/>
          <w:lang w:val="es-ES_tradnl" w:eastAsia="es-MX"/>
        </w:rPr>
        <w:t>analyze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decision-making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process</w:t>
      </w:r>
      <w:proofErr w:type="spellEnd"/>
      <w:r w:rsidRPr="00B15072">
        <w:rPr>
          <w:color w:val="000000"/>
          <w:szCs w:val="28"/>
          <w:lang w:val="es-ES_tradnl" w:eastAsia="es-MX"/>
        </w:rPr>
        <w:t xml:space="preserve"> </w:t>
      </w:r>
      <w:proofErr w:type="spellStart"/>
      <w:r w:rsidRPr="00B15072">
        <w:rPr>
          <w:color w:val="000000"/>
          <w:szCs w:val="28"/>
          <w:lang w:val="es-ES_tradnl" w:eastAsia="es-MX"/>
        </w:rPr>
        <w:t>using</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data. </w:t>
      </w:r>
      <w:proofErr w:type="spellStart"/>
      <w:r w:rsidRPr="00B15072">
        <w:rPr>
          <w:color w:val="000000"/>
          <w:szCs w:val="28"/>
          <w:lang w:val="es-ES_tradnl" w:eastAsia="es-MX"/>
        </w:rPr>
        <w:t>Situation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that</w:t>
      </w:r>
      <w:proofErr w:type="spellEnd"/>
      <w:r w:rsidRPr="00B15072">
        <w:rPr>
          <w:color w:val="000000"/>
          <w:szCs w:val="28"/>
          <w:lang w:val="es-ES_tradnl" w:eastAsia="es-MX"/>
        </w:rPr>
        <w:t xml:space="preserve"> </w:t>
      </w:r>
      <w:proofErr w:type="spellStart"/>
      <w:r w:rsidRPr="00B15072">
        <w:rPr>
          <w:color w:val="000000"/>
          <w:szCs w:val="28"/>
          <w:lang w:val="es-ES_tradnl" w:eastAsia="es-MX"/>
        </w:rPr>
        <w:t>was</w:t>
      </w:r>
      <w:proofErr w:type="spellEnd"/>
      <w:r w:rsidRPr="00B15072">
        <w:rPr>
          <w:color w:val="000000"/>
          <w:szCs w:val="28"/>
          <w:lang w:val="es-ES_tradnl" w:eastAsia="es-MX"/>
        </w:rPr>
        <w:t xml:space="preserve"> </w:t>
      </w:r>
      <w:proofErr w:type="spellStart"/>
      <w:r w:rsidRPr="00B15072">
        <w:rPr>
          <w:color w:val="000000"/>
          <w:szCs w:val="28"/>
          <w:lang w:val="es-ES_tradnl" w:eastAsia="es-MX"/>
        </w:rPr>
        <w:t>facilitated</w:t>
      </w:r>
      <w:proofErr w:type="spellEnd"/>
      <w:r w:rsidRPr="00B15072">
        <w:rPr>
          <w:color w:val="000000"/>
          <w:szCs w:val="28"/>
          <w:lang w:val="es-ES_tradnl" w:eastAsia="es-MX"/>
        </w:rPr>
        <w:t xml:space="preserve"> </w:t>
      </w:r>
      <w:proofErr w:type="spellStart"/>
      <w:r w:rsidRPr="00B15072">
        <w:rPr>
          <w:color w:val="000000"/>
          <w:szCs w:val="28"/>
          <w:lang w:val="es-ES_tradnl" w:eastAsia="es-MX"/>
        </w:rPr>
        <w:t>by</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r w:rsidR="00232AFB">
        <w:rPr>
          <w:color w:val="000000"/>
          <w:szCs w:val="28"/>
          <w:lang w:val="es-ES_tradnl" w:eastAsia="es-MX"/>
        </w:rPr>
        <w:t>CEP</w:t>
      </w:r>
      <w:r w:rsidRPr="00B15072">
        <w:rPr>
          <w:color w:val="000000"/>
          <w:szCs w:val="28"/>
          <w:lang w:val="es-ES_tradnl" w:eastAsia="es-MX"/>
        </w:rPr>
        <w:t xml:space="preserv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save</w:t>
      </w:r>
      <w:proofErr w:type="spellEnd"/>
      <w:r w:rsidRPr="00B15072">
        <w:rPr>
          <w:color w:val="000000"/>
          <w:szCs w:val="28"/>
          <w:lang w:val="es-ES_tradnl" w:eastAsia="es-MX"/>
        </w:rPr>
        <w:t xml:space="preserve"> time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obtain</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standard </w:t>
      </w:r>
      <w:proofErr w:type="spellStart"/>
      <w:r w:rsidRPr="00B15072">
        <w:rPr>
          <w:color w:val="000000"/>
          <w:szCs w:val="28"/>
          <w:lang w:val="es-ES_tradnl" w:eastAsia="es-MX"/>
        </w:rPr>
        <w:t>deviation</w:t>
      </w:r>
      <w:proofErr w:type="spellEnd"/>
      <w:r w:rsidRPr="00B15072">
        <w:rPr>
          <w:color w:val="000000"/>
          <w:szCs w:val="28"/>
          <w:lang w:val="es-ES_tradnl" w:eastAsia="es-MX"/>
        </w:rPr>
        <w:t xml:space="preserve"> data and </w:t>
      </w:r>
      <w:proofErr w:type="spellStart"/>
      <w:r w:rsidRPr="00B15072">
        <w:rPr>
          <w:color w:val="000000"/>
          <w:szCs w:val="28"/>
          <w:lang w:val="es-ES_tradnl" w:eastAsia="es-MX"/>
        </w:rPr>
        <w:t>to</w:t>
      </w:r>
      <w:proofErr w:type="spellEnd"/>
      <w:r w:rsidRPr="00B15072">
        <w:rPr>
          <w:color w:val="000000"/>
          <w:szCs w:val="28"/>
          <w:lang w:val="es-ES_tradnl" w:eastAsia="es-MX"/>
        </w:rPr>
        <w:t xml:space="preserve"> </w:t>
      </w:r>
      <w:proofErr w:type="spellStart"/>
      <w:r w:rsidRPr="00B15072">
        <w:rPr>
          <w:color w:val="000000"/>
          <w:szCs w:val="28"/>
          <w:lang w:val="es-ES_tradnl" w:eastAsia="es-MX"/>
        </w:rPr>
        <w:t>analyze</w:t>
      </w:r>
      <w:proofErr w:type="spellEnd"/>
      <w:r w:rsidRPr="00B15072">
        <w:rPr>
          <w:color w:val="000000"/>
          <w:szCs w:val="28"/>
          <w:lang w:val="es-ES_tradnl" w:eastAsia="es-MX"/>
        </w:rPr>
        <w:t xml:space="preserve"> </w:t>
      </w:r>
      <w:proofErr w:type="spellStart"/>
      <w:r w:rsidRPr="00B15072">
        <w:rPr>
          <w:color w:val="000000"/>
          <w:szCs w:val="28"/>
          <w:lang w:val="es-ES_tradnl" w:eastAsia="es-MX"/>
        </w:rPr>
        <w:t>the</w:t>
      </w:r>
      <w:proofErr w:type="spellEnd"/>
      <w:r w:rsidRPr="00B15072">
        <w:rPr>
          <w:color w:val="000000"/>
          <w:szCs w:val="28"/>
          <w:lang w:val="es-ES_tradnl" w:eastAsia="es-MX"/>
        </w:rPr>
        <w:t xml:space="preserve"> </w:t>
      </w:r>
      <w:proofErr w:type="spellStart"/>
      <w:r w:rsidRPr="00B15072">
        <w:rPr>
          <w:color w:val="000000"/>
          <w:szCs w:val="28"/>
          <w:lang w:val="es-ES_tradnl" w:eastAsia="es-MX"/>
        </w:rPr>
        <w:t>decision</w:t>
      </w:r>
      <w:proofErr w:type="spellEnd"/>
      <w:r w:rsidRPr="00B15072">
        <w:rPr>
          <w:color w:val="000000"/>
          <w:szCs w:val="28"/>
          <w:lang w:val="es-ES_tradnl" w:eastAsia="es-MX"/>
        </w:rPr>
        <w:t xml:space="preserve"> </w:t>
      </w:r>
      <w:proofErr w:type="spellStart"/>
      <w:r w:rsidRPr="00B15072">
        <w:rPr>
          <w:color w:val="000000"/>
          <w:szCs w:val="28"/>
          <w:lang w:val="es-ES_tradnl" w:eastAsia="es-MX"/>
        </w:rPr>
        <w:t>making</w:t>
      </w:r>
      <w:proofErr w:type="spellEnd"/>
    </w:p>
    <w:p w14:paraId="40C555E9" w14:textId="2E220F9E" w:rsidR="00722E31" w:rsidRPr="00B15072" w:rsidRDefault="00722E31" w:rsidP="00964916">
      <w:pPr>
        <w:rPr>
          <w:rFonts w:eastAsia="Calibri"/>
          <w:sz w:val="22"/>
          <w:szCs w:val="22"/>
          <w:lang w:val="es-MX"/>
        </w:rPr>
      </w:pPr>
      <w:proofErr w:type="spellStart"/>
      <w:r w:rsidRPr="00F44E7A">
        <w:rPr>
          <w:rFonts w:ascii="Calibri" w:hAnsi="Calibri" w:cs="Calibri"/>
          <w:b/>
          <w:color w:val="000000"/>
          <w:sz w:val="28"/>
          <w:szCs w:val="28"/>
          <w:lang w:val="es-ES_tradnl" w:eastAsia="es-MX"/>
        </w:rPr>
        <w:t>Keywords</w:t>
      </w:r>
      <w:proofErr w:type="spellEnd"/>
      <w:r w:rsidRPr="00F44E7A">
        <w:rPr>
          <w:rFonts w:ascii="Calibri" w:hAnsi="Calibri" w:cs="Calibri"/>
          <w:b/>
          <w:color w:val="000000"/>
          <w:sz w:val="28"/>
          <w:szCs w:val="28"/>
          <w:lang w:val="es-ES_tradnl" w:eastAsia="es-MX"/>
        </w:rPr>
        <w:t>:</w:t>
      </w:r>
      <w:r w:rsidRPr="00B15072">
        <w:rPr>
          <w:color w:val="000000" w:themeColor="text1"/>
          <w:lang w:val="en-US"/>
        </w:rPr>
        <w:t xml:space="preserve"> </w:t>
      </w:r>
      <w:r w:rsidR="00964916" w:rsidRPr="00B15072">
        <w:rPr>
          <w:color w:val="000000" w:themeColor="text1"/>
          <w:lang w:val="en-US"/>
        </w:rPr>
        <w:t>Educational statistics</w:t>
      </w:r>
      <w:r w:rsidRPr="00B15072">
        <w:rPr>
          <w:color w:val="000000" w:themeColor="text1"/>
          <w:lang w:val="en-US"/>
        </w:rPr>
        <w:t>, m-learning</w:t>
      </w:r>
      <w:r w:rsidR="00C91C50">
        <w:rPr>
          <w:color w:val="000000" w:themeColor="text1"/>
          <w:lang w:val="en-US"/>
        </w:rPr>
        <w:t>,</w:t>
      </w:r>
      <w:r w:rsidR="00C91C50" w:rsidRPr="00C91C50">
        <w:rPr>
          <w:color w:val="000000" w:themeColor="text1"/>
          <w:lang w:val="en-US"/>
        </w:rPr>
        <w:t xml:space="preserve"> </w:t>
      </w:r>
      <w:r w:rsidR="00C91C50">
        <w:rPr>
          <w:color w:val="000000" w:themeColor="text1"/>
          <w:lang w:val="en-US"/>
        </w:rPr>
        <w:t>teaching-learning</w:t>
      </w:r>
    </w:p>
    <w:p w14:paraId="79DA14C4" w14:textId="77777777" w:rsidR="00722E31" w:rsidRDefault="00722E31" w:rsidP="001454C6"/>
    <w:p w14:paraId="763B0BB2" w14:textId="77777777" w:rsidR="00F44E7A" w:rsidRDefault="00F44E7A" w:rsidP="00F44E7A">
      <w:pPr>
        <w:spacing w:before="120" w:after="240" w:line="360" w:lineRule="auto"/>
        <w:jc w:val="both"/>
      </w:pPr>
      <w:r w:rsidRPr="00F751FF">
        <w:rPr>
          <w:b/>
        </w:rPr>
        <w:t>Fecha Recepción:</w:t>
      </w:r>
      <w:r w:rsidRPr="00F751FF">
        <w:t xml:space="preserve"> </w:t>
      </w:r>
      <w:r>
        <w:t>Diciembre 2018</w:t>
      </w:r>
      <w:r w:rsidRPr="00F751FF">
        <w:t xml:space="preserve">     </w:t>
      </w:r>
      <w:r w:rsidRPr="00F751FF">
        <w:rPr>
          <w:b/>
        </w:rPr>
        <w:t>Fecha Aceptación:</w:t>
      </w:r>
      <w:r w:rsidRPr="00F751FF">
        <w:t xml:space="preserve"> Julio 201</w:t>
      </w:r>
      <w:r>
        <w:t>9</w:t>
      </w:r>
      <w:r>
        <w:br/>
      </w:r>
      <w:r>
        <w:pict w14:anchorId="41084B3C">
          <v:rect id="_x0000_i1025" style="width:446.5pt;height:1.5pt" o:hralign="center" o:hrstd="t" o:hr="t" fillcolor="#a0a0a0" stroked="f"/>
        </w:pict>
      </w:r>
    </w:p>
    <w:p w14:paraId="1D9657B5" w14:textId="2BAF6D08" w:rsidR="003776A2" w:rsidRDefault="003776A2" w:rsidP="001454C6"/>
    <w:p w14:paraId="409D385E" w14:textId="77777777" w:rsidR="00E32A2E" w:rsidRDefault="00E32A2E" w:rsidP="001454C6"/>
    <w:p w14:paraId="09136887" w14:textId="77777777" w:rsidR="00E32A2E" w:rsidRDefault="00E32A2E" w:rsidP="001454C6"/>
    <w:p w14:paraId="63229880" w14:textId="39D7472E" w:rsidR="00E32A2E" w:rsidRDefault="00E32A2E" w:rsidP="001454C6"/>
    <w:p w14:paraId="12D28B0D" w14:textId="322D354F" w:rsidR="00F44E7A" w:rsidRDefault="00F44E7A" w:rsidP="001454C6"/>
    <w:p w14:paraId="0B62EB66" w14:textId="6CED5768" w:rsidR="00F44E7A" w:rsidRDefault="00F44E7A" w:rsidP="001454C6"/>
    <w:p w14:paraId="683F2930" w14:textId="5A1C12BE" w:rsidR="00F44E7A" w:rsidRDefault="00F44E7A" w:rsidP="001454C6"/>
    <w:p w14:paraId="0207E9FB" w14:textId="77777777" w:rsidR="00F44E7A" w:rsidRDefault="00F44E7A" w:rsidP="001454C6"/>
    <w:p w14:paraId="03F6A12E" w14:textId="713DFB48" w:rsidR="003776A2" w:rsidRPr="0001546D" w:rsidRDefault="00B15072" w:rsidP="0001546D">
      <w:pPr>
        <w:spacing w:line="360" w:lineRule="auto"/>
        <w:jc w:val="center"/>
        <w:rPr>
          <w:b/>
          <w:sz w:val="32"/>
        </w:rPr>
      </w:pPr>
      <w:r w:rsidRPr="0001546D">
        <w:rPr>
          <w:b/>
          <w:sz w:val="32"/>
        </w:rPr>
        <w:lastRenderedPageBreak/>
        <w:t>Introducción</w:t>
      </w:r>
    </w:p>
    <w:p w14:paraId="2F0BA234" w14:textId="77777777" w:rsidR="00E7036F" w:rsidRPr="0001546D" w:rsidRDefault="00841FC0" w:rsidP="0001546D">
      <w:pPr>
        <w:spacing w:line="360" w:lineRule="auto"/>
        <w:jc w:val="both"/>
      </w:pPr>
      <w:r w:rsidRPr="0001546D">
        <w:t xml:space="preserve">El siguiente </w:t>
      </w:r>
      <w:r w:rsidR="00872E4B" w:rsidRPr="0001546D">
        <w:t xml:space="preserve">trabajo </w:t>
      </w:r>
      <w:r w:rsidRPr="0001546D">
        <w:t>asume como punto de partida la necesidad de explorar el proceso enseñanza-aprendizaje en la asignatura estadística, la cual forma parte de la mayoría de los programas educativos en México.</w:t>
      </w:r>
    </w:p>
    <w:p w14:paraId="6D023F42" w14:textId="19A6D8C8" w:rsidR="00E7036F" w:rsidRPr="0001546D" w:rsidRDefault="00E7036F" w:rsidP="0001546D">
      <w:pPr>
        <w:spacing w:line="360" w:lineRule="auto"/>
        <w:jc w:val="both"/>
        <w:rPr>
          <w:lang w:val="es-ES_tradnl"/>
        </w:rPr>
      </w:pPr>
      <w:r w:rsidRPr="0001546D">
        <w:rPr>
          <w:lang w:val="es-ES_tradnl"/>
        </w:rPr>
        <w:t>El número de investigaciones sobre la didácti</w:t>
      </w:r>
      <w:r w:rsidR="00BD10EF" w:rsidRPr="0001546D">
        <w:rPr>
          <w:lang w:val="es-ES_tradnl"/>
        </w:rPr>
        <w:t xml:space="preserve">ca de la estadística es aún </w:t>
      </w:r>
      <w:r w:rsidRPr="0001546D">
        <w:rPr>
          <w:lang w:val="es-ES_tradnl"/>
        </w:rPr>
        <w:t>escaso, en comparación con las existentes en otras ramas de las matemáticas. Se hace preciso conocer la especificidad de los contextos educativos para experimentar y evaluar métodos de enseñanza adaptados a la naturaleza específica de la estadística, a la que no siempre se pueden transferir los principios generales de la enseñanza de las matemáticas.</w:t>
      </w:r>
    </w:p>
    <w:p w14:paraId="027AC5D8" w14:textId="16013EBF" w:rsidR="00E7036F" w:rsidRPr="0001546D" w:rsidRDefault="001454C6" w:rsidP="0001546D">
      <w:pPr>
        <w:spacing w:line="360" w:lineRule="auto"/>
        <w:jc w:val="both"/>
        <w:rPr>
          <w:lang w:val="es-MX"/>
        </w:rPr>
      </w:pPr>
      <w:r w:rsidRPr="0001546D">
        <w:t>Las tecnologías móviles le dan oportunidad al joven estudiante de aprender por ellos mismos con el apoyo de aplicaciones y la orientación de</w:t>
      </w:r>
      <w:r w:rsidR="002D69CC" w:rsidRPr="0001546D">
        <w:t xml:space="preserve"> un diseño instruccional básico</w:t>
      </w:r>
      <w:r w:rsidRPr="0001546D">
        <w:t>.</w:t>
      </w:r>
      <w:r w:rsidR="00872E4B" w:rsidRPr="0001546D">
        <w:t xml:space="preserve"> Hay, de acuerdo con </w:t>
      </w:r>
      <w:r w:rsidR="00872E4B" w:rsidRPr="0001546D">
        <w:rPr>
          <w:spacing w:val="-3"/>
        </w:rPr>
        <w:t xml:space="preserve">UNESCO (2013) </w:t>
      </w:r>
      <w:r w:rsidR="00E41D73" w:rsidRPr="0001546D">
        <w:t xml:space="preserve">cada vez más datos que indican que los omnipresentes dispositivos móviles, en particular los teléfonos móviles y, más recientemente, las tabletas, son utilizados por educandos y docentes de todo el mundo para </w:t>
      </w:r>
      <w:r w:rsidR="00714B16" w:rsidRPr="0001546D">
        <w:t>acceder</w:t>
      </w:r>
      <w:r w:rsidR="00E41D73" w:rsidRPr="0001546D">
        <w:t xml:space="preserve"> a información, simplificar la administración y facilitar el aprendizaje de una forma nueva e innovadora</w:t>
      </w:r>
      <w:r w:rsidR="00872E4B" w:rsidRPr="0001546D">
        <w:t xml:space="preserve">. </w:t>
      </w:r>
      <w:r w:rsidR="00E41D73" w:rsidRPr="0001546D">
        <w:rPr>
          <w:spacing w:val="-3"/>
        </w:rPr>
        <w:t xml:space="preserve"> </w:t>
      </w:r>
      <w:r w:rsidR="00E7036F" w:rsidRPr="0001546D">
        <w:rPr>
          <w:color w:val="000000"/>
          <w:shd w:val="clear" w:color="auto" w:fill="FFFFFF"/>
        </w:rPr>
        <w:t xml:space="preserve">Los dispositivos móviles caen en la categoría de </w:t>
      </w:r>
      <w:proofErr w:type="spellStart"/>
      <w:r w:rsidR="00E7036F" w:rsidRPr="0001546D">
        <w:rPr>
          <w:color w:val="000000"/>
          <w:shd w:val="clear" w:color="auto" w:fill="FFFFFF"/>
        </w:rPr>
        <w:t>TICs</w:t>
      </w:r>
      <w:proofErr w:type="spellEnd"/>
      <w:r w:rsidR="00E7036F" w:rsidRPr="0001546D">
        <w:rPr>
          <w:color w:val="000000"/>
          <w:shd w:val="clear" w:color="auto" w:fill="FFFFFF"/>
        </w:rPr>
        <w:t xml:space="preserve">, en este sentido Prieto (2008), hace mención de las extraordinarias posibilidades pedagógicas que se abren al utilizar la tecnología creando un abanico de opciones de tipo cognitivo. </w:t>
      </w:r>
      <w:r w:rsidR="002D69CC" w:rsidRPr="0001546D">
        <w:rPr>
          <w:color w:val="000000"/>
          <w:shd w:val="clear" w:color="auto" w:fill="FFFFFF"/>
        </w:rPr>
        <w:t xml:space="preserve">De acuerdo con </w:t>
      </w:r>
      <w:proofErr w:type="spellStart"/>
      <w:r w:rsidR="002D69CC" w:rsidRPr="0001546D">
        <w:rPr>
          <w:lang w:val="es-MX"/>
        </w:rPr>
        <w:t>O’Malley</w:t>
      </w:r>
      <w:proofErr w:type="spellEnd"/>
      <w:r w:rsidR="002D69CC" w:rsidRPr="0001546D">
        <w:rPr>
          <w:lang w:val="es-MX"/>
        </w:rPr>
        <w:t xml:space="preserve"> et al (2003) </w:t>
      </w:r>
      <w:r w:rsidR="00E7036F" w:rsidRPr="0001546D">
        <w:rPr>
          <w:bCs/>
        </w:rPr>
        <w:t>M</w:t>
      </w:r>
      <w:r w:rsidR="00E7036F" w:rsidRPr="0001546D">
        <w:rPr>
          <w:bCs/>
          <w:lang w:val="es-MX"/>
        </w:rPr>
        <w:t>-</w:t>
      </w:r>
      <w:proofErr w:type="spellStart"/>
      <w:r w:rsidR="00E7036F" w:rsidRPr="0001546D">
        <w:rPr>
          <w:bCs/>
          <w:lang w:val="es-MX"/>
        </w:rPr>
        <w:t>learning</w:t>
      </w:r>
      <w:proofErr w:type="spellEnd"/>
      <w:r w:rsidR="00E7036F" w:rsidRPr="0001546D">
        <w:rPr>
          <w:lang w:val="es-MX"/>
        </w:rPr>
        <w:t xml:space="preserve">, es el término utilizado para designar un espacio relativamente nuevo de investigación producto de la confluencia entre el e-learning, entendido en sentido amplio, y los dispositivos móviles de comunicación: computadoras portátiles, </w:t>
      </w:r>
      <w:proofErr w:type="spellStart"/>
      <w:r w:rsidR="00E7036F" w:rsidRPr="0001546D">
        <w:rPr>
          <w:lang w:val="es-MX"/>
        </w:rPr>
        <w:t>PDAs</w:t>
      </w:r>
      <w:proofErr w:type="spellEnd"/>
      <w:r w:rsidR="00E7036F" w:rsidRPr="0001546D">
        <w:rPr>
          <w:lang w:val="es-MX"/>
        </w:rPr>
        <w:t xml:space="preserve"> (</w:t>
      </w:r>
      <w:proofErr w:type="spellStart"/>
      <w:r w:rsidR="00CB42E8" w:rsidRPr="0001546D">
        <w:rPr>
          <w:lang w:val="es-MX"/>
        </w:rPr>
        <w:t>palms</w:t>
      </w:r>
      <w:proofErr w:type="spellEnd"/>
      <w:r w:rsidR="00CB42E8" w:rsidRPr="0001546D">
        <w:rPr>
          <w:lang w:val="es-MX"/>
        </w:rPr>
        <w:t>, </w:t>
      </w:r>
      <w:proofErr w:type="spellStart"/>
      <w:r w:rsidR="00CB42E8" w:rsidRPr="0001546D">
        <w:rPr>
          <w:lang w:val="es-MX"/>
        </w:rPr>
        <w:t>pocket</w:t>
      </w:r>
      <w:proofErr w:type="spellEnd"/>
      <w:r w:rsidR="00E7036F" w:rsidRPr="0001546D">
        <w:rPr>
          <w:lang w:val="es-MX"/>
        </w:rPr>
        <w:t xml:space="preserve"> </w:t>
      </w:r>
      <w:proofErr w:type="spellStart"/>
      <w:r w:rsidR="00E7036F" w:rsidRPr="0001546D">
        <w:rPr>
          <w:lang w:val="es-MX"/>
        </w:rPr>
        <w:t>computers</w:t>
      </w:r>
      <w:proofErr w:type="spellEnd"/>
      <w:r w:rsidR="00E7036F" w:rsidRPr="0001546D">
        <w:rPr>
          <w:lang w:val="es-MX"/>
        </w:rPr>
        <w:t xml:space="preserve">), teléfonos móviles con acceso a Internet, Tablet, Tablet PC, e incluso consolas de videojuegos </w:t>
      </w:r>
      <w:r w:rsidR="002D69CC" w:rsidRPr="0001546D">
        <w:rPr>
          <w:lang w:val="es-MX"/>
        </w:rPr>
        <w:t>(Nintendo 3DS, PSP Vita, Wii U)</w:t>
      </w:r>
      <w:r w:rsidR="00904369" w:rsidRPr="0001546D">
        <w:rPr>
          <w:lang w:val="es-MX"/>
        </w:rPr>
        <w:t>.</w:t>
      </w:r>
    </w:p>
    <w:p w14:paraId="362D42E8" w14:textId="77777777" w:rsidR="00B15072" w:rsidRPr="0001546D" w:rsidRDefault="00B15072" w:rsidP="0001546D">
      <w:pPr>
        <w:spacing w:line="360" w:lineRule="auto"/>
        <w:jc w:val="both"/>
        <w:rPr>
          <w:lang w:val="es-ES_tradnl"/>
        </w:rPr>
      </w:pPr>
    </w:p>
    <w:p w14:paraId="3B01125F" w14:textId="31BEFB7E" w:rsidR="00B15072" w:rsidRPr="0001546D" w:rsidRDefault="0001546D" w:rsidP="0001546D">
      <w:pPr>
        <w:spacing w:line="360" w:lineRule="auto"/>
        <w:jc w:val="center"/>
        <w:rPr>
          <w:b/>
          <w:sz w:val="32"/>
          <w:lang w:val="es-ES_tradnl"/>
        </w:rPr>
      </w:pPr>
      <w:r>
        <w:rPr>
          <w:b/>
          <w:sz w:val="32"/>
          <w:lang w:val="es-ES_tradnl"/>
        </w:rPr>
        <w:t>Materiales y m</w:t>
      </w:r>
      <w:r w:rsidR="00B15072" w:rsidRPr="0001546D">
        <w:rPr>
          <w:b/>
          <w:sz w:val="32"/>
          <w:lang w:val="es-ES_tradnl"/>
        </w:rPr>
        <w:t>étodos</w:t>
      </w:r>
    </w:p>
    <w:p w14:paraId="0F212CE8" w14:textId="016C8398" w:rsidR="00D37C6C" w:rsidRPr="0001546D" w:rsidRDefault="0043073E" w:rsidP="0001546D">
      <w:pPr>
        <w:spacing w:line="360" w:lineRule="auto"/>
        <w:jc w:val="both"/>
        <w:rPr>
          <w:lang w:val="es-ES_tradnl"/>
        </w:rPr>
      </w:pPr>
      <w:r w:rsidRPr="0001546D">
        <w:rPr>
          <w:lang w:val="es-ES_tradnl"/>
        </w:rPr>
        <w:t>A</w:t>
      </w:r>
      <w:r w:rsidR="0064462A" w:rsidRPr="0001546D">
        <w:rPr>
          <w:lang w:val="es-ES_tradnl"/>
        </w:rPr>
        <w:t xml:space="preserve">nalizando el rendimiento académico de los alumnos del Programa Educativo de Trabajo Social </w:t>
      </w:r>
      <w:r w:rsidR="00BD10EF" w:rsidRPr="0001546D">
        <w:rPr>
          <w:lang w:val="es-ES_tradnl"/>
        </w:rPr>
        <w:t xml:space="preserve">y Enfermería </w:t>
      </w:r>
      <w:r w:rsidR="0064462A" w:rsidRPr="0001546D">
        <w:rPr>
          <w:lang w:val="es-ES_tradnl"/>
        </w:rPr>
        <w:t xml:space="preserve">en el Centro Universitario del Sur, </w:t>
      </w:r>
      <w:r w:rsidRPr="0001546D">
        <w:rPr>
          <w:lang w:val="es-ES_tradnl"/>
        </w:rPr>
        <w:t>y con fundamento en la Teoría de la Formación por Etapas de las Acciones Me</w:t>
      </w:r>
      <w:r w:rsidR="00813364" w:rsidRPr="0001546D">
        <w:rPr>
          <w:lang w:val="es-ES_tradnl"/>
        </w:rPr>
        <w:t>n</w:t>
      </w:r>
      <w:r w:rsidRPr="0001546D">
        <w:rPr>
          <w:lang w:val="es-ES_tradnl"/>
        </w:rPr>
        <w:t>tales (</w:t>
      </w:r>
      <w:r w:rsidR="002D69CC" w:rsidRPr="0001546D">
        <w:rPr>
          <w:lang w:val="es-ES_tradnl"/>
        </w:rPr>
        <w:t>TFEAM</w:t>
      </w:r>
      <w:r w:rsidRPr="0001546D">
        <w:rPr>
          <w:lang w:val="es-ES_tradnl"/>
        </w:rPr>
        <w:t>)</w:t>
      </w:r>
      <w:r w:rsidR="00904369" w:rsidRPr="0001546D">
        <w:rPr>
          <w:lang w:val="es-ES_tradnl"/>
        </w:rPr>
        <w:t>,</w:t>
      </w:r>
      <w:r w:rsidRPr="0001546D">
        <w:rPr>
          <w:lang w:val="es-ES_tradnl"/>
        </w:rPr>
        <w:t xml:space="preserve"> </w:t>
      </w:r>
      <w:r w:rsidR="0064462A" w:rsidRPr="0001546D">
        <w:rPr>
          <w:lang w:val="es-ES_tradnl"/>
        </w:rPr>
        <w:t>s</w:t>
      </w:r>
      <w:r w:rsidR="00B35949" w:rsidRPr="0001546D">
        <w:rPr>
          <w:lang w:val="es-ES_tradnl"/>
        </w:rPr>
        <w:t>e discute la pertinencia del uso de una aplicación de calculadora estadística en la comprensión e interpretación medidas de tendencia central y la desviación estándar</w:t>
      </w:r>
      <w:r w:rsidR="0064462A" w:rsidRPr="0001546D">
        <w:rPr>
          <w:lang w:val="es-ES_tradnl"/>
        </w:rPr>
        <w:t xml:space="preserve">. </w:t>
      </w:r>
      <w:r w:rsidR="00082609" w:rsidRPr="0001546D">
        <w:rPr>
          <w:lang w:val="es-ES_tradnl"/>
        </w:rPr>
        <w:t xml:space="preserve"> </w:t>
      </w:r>
      <w:r w:rsidR="00383511" w:rsidRPr="0001546D">
        <w:rPr>
          <w:lang w:val="es-ES_tradnl"/>
        </w:rPr>
        <w:t>La TFEAM</w:t>
      </w:r>
      <w:r w:rsidR="00D37C6C" w:rsidRPr="0001546D">
        <w:rPr>
          <w:lang w:val="es-ES_tradnl"/>
        </w:rPr>
        <w:t xml:space="preserve"> </w:t>
      </w:r>
      <w:r w:rsidR="00813364" w:rsidRPr="0001546D">
        <w:rPr>
          <w:lang w:val="es-ES_tradnl"/>
        </w:rPr>
        <w:t>implica que</w:t>
      </w:r>
      <w:r w:rsidR="00E3729C" w:rsidRPr="0001546D">
        <w:rPr>
          <w:lang w:val="es-ES_tradnl"/>
        </w:rPr>
        <w:t xml:space="preserve"> los </w:t>
      </w:r>
      <w:r w:rsidR="00813364" w:rsidRPr="0001546D">
        <w:rPr>
          <w:lang w:val="es-ES_tradnl"/>
        </w:rPr>
        <w:t>conceptos se enseñan de manera deductiva a través de etapas correspondientes a las fo</w:t>
      </w:r>
      <w:r w:rsidR="00E3729C" w:rsidRPr="0001546D">
        <w:rPr>
          <w:lang w:val="es-ES_tradnl"/>
        </w:rPr>
        <w:t xml:space="preserve">rmas de la acción.  Primero </w:t>
      </w:r>
      <w:r w:rsidR="00813364" w:rsidRPr="0001546D">
        <w:rPr>
          <w:lang w:val="es-ES_tradnl"/>
        </w:rPr>
        <w:t>se expli</w:t>
      </w:r>
      <w:r w:rsidR="00BD10EF" w:rsidRPr="0001546D">
        <w:rPr>
          <w:lang w:val="es-ES_tradnl"/>
        </w:rPr>
        <w:t xml:space="preserve">ca la etapa orientadora de la acción, donde se realiza la </w:t>
      </w:r>
      <w:r w:rsidR="00813364" w:rsidRPr="0001546D">
        <w:rPr>
          <w:lang w:val="es-ES_tradnl"/>
        </w:rPr>
        <w:t>presentación de situaciones  en forma material o materializada</w:t>
      </w:r>
      <w:r w:rsidR="00BD10EF" w:rsidRPr="0001546D">
        <w:rPr>
          <w:lang w:val="es-ES_tradnl"/>
        </w:rPr>
        <w:t xml:space="preserve"> (esenciales)</w:t>
      </w:r>
      <w:r w:rsidR="00813364" w:rsidRPr="0001546D">
        <w:rPr>
          <w:lang w:val="es-ES_tradnl"/>
        </w:rPr>
        <w:t xml:space="preserve">  para  enseñar las características del concepto</w:t>
      </w:r>
      <w:r w:rsidR="00BD10EF" w:rsidRPr="0001546D">
        <w:rPr>
          <w:lang w:val="es-ES_tradnl"/>
        </w:rPr>
        <w:t xml:space="preserve"> </w:t>
      </w:r>
      <w:r w:rsidR="00BD10EF" w:rsidRPr="0001546D">
        <w:rPr>
          <w:lang w:val="es-ES_tradnl"/>
        </w:rPr>
        <w:lastRenderedPageBreak/>
        <w:t>que se abordará</w:t>
      </w:r>
      <w:r w:rsidR="00E3729C" w:rsidRPr="0001546D">
        <w:rPr>
          <w:lang w:val="es-ES_tradnl"/>
        </w:rPr>
        <w:t xml:space="preserve"> según menciona Mendoza, Acevedo y Tejada (</w:t>
      </w:r>
      <w:r w:rsidR="00813364" w:rsidRPr="0001546D">
        <w:rPr>
          <w:lang w:val="es-ES_tradnl"/>
        </w:rPr>
        <w:t>2016). De igual forma se presentan situaciones para que los estudiantes describan las características del concepto en estudio en forma verbal externa.</w:t>
      </w:r>
      <w:r w:rsidR="00D37C6C" w:rsidRPr="0001546D">
        <w:rPr>
          <w:lang w:val="es-ES_tradnl"/>
        </w:rPr>
        <w:t xml:space="preserve">se fundamenta en la teoría de la actividad de </w:t>
      </w:r>
      <w:proofErr w:type="spellStart"/>
      <w:r w:rsidR="00D37C6C" w:rsidRPr="0001546D">
        <w:rPr>
          <w:lang w:val="es-ES_tradnl"/>
        </w:rPr>
        <w:t>Vigostky</w:t>
      </w:r>
      <w:proofErr w:type="spellEnd"/>
      <w:r w:rsidR="00D37C6C" w:rsidRPr="0001546D">
        <w:rPr>
          <w:lang w:val="es-ES_tradnl"/>
        </w:rPr>
        <w:t xml:space="preserve"> analizada por </w:t>
      </w:r>
      <w:proofErr w:type="spellStart"/>
      <w:r w:rsidR="00D37C6C" w:rsidRPr="0001546D">
        <w:rPr>
          <w:lang w:val="es-ES_tradnl"/>
        </w:rPr>
        <w:t>Galperin</w:t>
      </w:r>
      <w:proofErr w:type="spellEnd"/>
      <w:r w:rsidR="00D37C6C" w:rsidRPr="0001546D">
        <w:rPr>
          <w:lang w:val="es-ES_tradnl"/>
        </w:rPr>
        <w:t xml:space="preserve"> (1995)</w:t>
      </w:r>
      <w:r w:rsidR="00E3729C" w:rsidRPr="0001546D">
        <w:rPr>
          <w:lang w:val="es-ES_tradnl"/>
        </w:rPr>
        <w:t xml:space="preserve"> donde expone el  sistema de  indicaciones  que  se  descubrían  directamente  en  la  percepción;  explicando que el alumno su acción principal no es comprender las palabras, sino comprender y dominar los fenómenos; y </w:t>
      </w:r>
      <w:proofErr w:type="spellStart"/>
      <w:r w:rsidR="00E3729C" w:rsidRPr="0001546D">
        <w:rPr>
          <w:lang w:val="es-ES_tradnl"/>
        </w:rPr>
        <w:t>Talízina</w:t>
      </w:r>
      <w:proofErr w:type="spellEnd"/>
      <w:r w:rsidR="00E3729C" w:rsidRPr="0001546D">
        <w:rPr>
          <w:lang w:val="es-ES_tradnl"/>
        </w:rPr>
        <w:t xml:space="preserve"> (1988)</w:t>
      </w:r>
      <w:r w:rsidR="00D37C6C" w:rsidRPr="0001546D">
        <w:rPr>
          <w:lang w:val="es-ES_tradnl"/>
        </w:rPr>
        <w:t xml:space="preserve"> explica el paso de la actividad externa a la actividad interna en la mente. Tiene como base la enseñanza programada, cuya intención esencial es elevar la eficiencia del proceso instructivo y educativo, utilizando dicho proceso las acciones propuestas permiten el desarrollo de la competencia interpretativa. </w:t>
      </w:r>
    </w:p>
    <w:p w14:paraId="527F827C" w14:textId="1BD15247" w:rsidR="00B35949" w:rsidRPr="0001546D" w:rsidRDefault="00D37C6C" w:rsidP="0001546D">
      <w:pPr>
        <w:spacing w:line="360" w:lineRule="auto"/>
        <w:jc w:val="both"/>
        <w:rPr>
          <w:lang w:val="es-ES_tradnl"/>
        </w:rPr>
      </w:pPr>
      <w:r w:rsidRPr="0001546D">
        <w:rPr>
          <w:lang w:val="es-ES_tradnl"/>
        </w:rPr>
        <w:t xml:space="preserve">A manera de síntesis, primero se explica </w:t>
      </w:r>
      <w:r w:rsidR="002D69CC" w:rsidRPr="0001546D">
        <w:rPr>
          <w:lang w:val="es-ES_tradnl"/>
        </w:rPr>
        <w:t xml:space="preserve">(al disiente) </w:t>
      </w:r>
      <w:r w:rsidRPr="0001546D">
        <w:rPr>
          <w:lang w:val="es-ES_tradnl"/>
        </w:rPr>
        <w:t>la etapa orientadora de la acción y se enuncian las características esenciales y no esenciales</w:t>
      </w:r>
      <w:r w:rsidR="00BD10EF" w:rsidRPr="0001546D">
        <w:rPr>
          <w:lang w:val="es-ES_tradnl"/>
        </w:rPr>
        <w:t xml:space="preserve"> del concepto (medidas de tendencia central y desviación estándar)</w:t>
      </w:r>
      <w:r w:rsidRPr="0001546D">
        <w:rPr>
          <w:lang w:val="es-ES_tradnl"/>
        </w:rPr>
        <w:t>. Posterior se presentan situaciones en forma problema de interés para el alumno para enseñar las características del concepto.</w:t>
      </w:r>
    </w:p>
    <w:p w14:paraId="1634D249" w14:textId="78A5E16D" w:rsidR="00C722FA" w:rsidRPr="0001546D" w:rsidRDefault="0077108B" w:rsidP="0001546D">
      <w:pPr>
        <w:spacing w:line="360" w:lineRule="auto"/>
        <w:jc w:val="both"/>
      </w:pPr>
      <w:r w:rsidRPr="0001546D">
        <w:rPr>
          <w:lang w:val="es-MX"/>
        </w:rPr>
        <w:t>La aplicación</w:t>
      </w:r>
      <w:r w:rsidR="00232AFB" w:rsidRPr="0001546D">
        <w:rPr>
          <w:lang w:val="es-MX"/>
        </w:rPr>
        <w:t xml:space="preserve"> </w:t>
      </w:r>
      <w:r w:rsidR="00A5131D" w:rsidRPr="0001546D">
        <w:rPr>
          <w:lang w:val="es-MX"/>
        </w:rPr>
        <w:t>“</w:t>
      </w:r>
      <w:r w:rsidR="00A5131D" w:rsidRPr="0001546D">
        <w:rPr>
          <w:i/>
        </w:rPr>
        <w:t>Calculadora Estadística y Probabilística</w:t>
      </w:r>
      <w:r w:rsidR="00A5131D" w:rsidRPr="0001546D">
        <w:t xml:space="preserve">” </w:t>
      </w:r>
      <w:r w:rsidR="007658AD" w:rsidRPr="0001546D">
        <w:t>(CEP)</w:t>
      </w:r>
      <w:r w:rsidR="00BD10EF" w:rsidRPr="0001546D">
        <w:t xml:space="preserve"> </w:t>
      </w:r>
      <w:r w:rsidRPr="0001546D">
        <w:rPr>
          <w:lang w:val="es-MX"/>
        </w:rPr>
        <w:t xml:space="preserve">se utilizó para </w:t>
      </w:r>
      <w:r w:rsidR="00904369" w:rsidRPr="0001546D">
        <w:rPr>
          <w:lang w:val="es-MX"/>
        </w:rPr>
        <w:t xml:space="preserve">dar solución a los algoritmos presentados </w:t>
      </w:r>
      <w:r w:rsidR="00C722FA" w:rsidRPr="0001546D">
        <w:rPr>
          <w:lang w:val="es-MX"/>
        </w:rPr>
        <w:t xml:space="preserve">en </w:t>
      </w:r>
      <w:r w:rsidR="00904369" w:rsidRPr="0001546D">
        <w:rPr>
          <w:lang w:val="es-MX"/>
        </w:rPr>
        <w:t xml:space="preserve">los temas de </w:t>
      </w:r>
      <w:r w:rsidRPr="0001546D">
        <w:rPr>
          <w:lang w:val="es-MX"/>
        </w:rPr>
        <w:t>medidas de tendencia central y desviación estándar en el curso de Estadística y Probabilidad</w:t>
      </w:r>
      <w:r w:rsidR="00904369" w:rsidRPr="0001546D">
        <w:rPr>
          <w:lang w:val="es-MX"/>
        </w:rPr>
        <w:t xml:space="preserve">. </w:t>
      </w:r>
      <w:r w:rsidR="008B59C0" w:rsidRPr="0001546D">
        <w:t xml:space="preserve">Como declara </w:t>
      </w:r>
      <w:proofErr w:type="spellStart"/>
      <w:r w:rsidR="008B59C0" w:rsidRPr="0001546D">
        <w:t>Aparici</w:t>
      </w:r>
      <w:proofErr w:type="spellEnd"/>
      <w:r w:rsidR="008B59C0" w:rsidRPr="0001546D">
        <w:t xml:space="preserve"> (2010) existen tecnologías de bajo coste que no requieren de inversiones cuantiosas de dinero como la que puede suponer una pizarra digital, hablamos de herramientas como la cámara digital o de vídeo, con la que se pueden aplicar metodologías de aprendizaje interesantes</w:t>
      </w:r>
      <w:r w:rsidR="00CD3A6E" w:rsidRPr="0001546D">
        <w:t>.</w:t>
      </w:r>
    </w:p>
    <w:p w14:paraId="38EB7A70" w14:textId="77777777" w:rsidR="00C722FA" w:rsidRPr="0001546D" w:rsidRDefault="00C722FA" w:rsidP="0001546D">
      <w:pPr>
        <w:spacing w:line="360" w:lineRule="auto"/>
        <w:jc w:val="both"/>
        <w:rPr>
          <w:lang w:val="es-MX"/>
        </w:rPr>
      </w:pPr>
      <w:r w:rsidRPr="0001546D">
        <w:t>Para Rinaldi (2012), los dispositivos móviles han adquirido una amplia preponderancia en el aprendizaje, marcando tendencia en los proyectos formativos. La utilización educativa de los dispositivos móviles representa la posibilidad de generar una mayor accesibilidad, colaboración y relevancia al aprendizaje, dado su bajo costo de operatividad para el acceso al contenido digital.</w:t>
      </w:r>
    </w:p>
    <w:p w14:paraId="220BEC48" w14:textId="16AD65AC" w:rsidR="008B59C0" w:rsidRPr="0001546D" w:rsidRDefault="00CD3A6E" w:rsidP="0001546D">
      <w:pPr>
        <w:spacing w:line="360" w:lineRule="auto"/>
        <w:jc w:val="both"/>
      </w:pPr>
      <w:r w:rsidRPr="0001546D">
        <w:t xml:space="preserve">El teléfono móvil es la herramienta portátil más usada por los usuarios para </w:t>
      </w:r>
      <w:r w:rsidR="00232AFB" w:rsidRPr="0001546D">
        <w:t>acceder</w:t>
      </w:r>
      <w:r w:rsidRPr="0001546D">
        <w:t xml:space="preserve"> a internet, además, cada vez se comienza a utilizar a edades más tempranas. A los 10 años el 30% de niños españoles tienen su propio móvil y a los 12 años casi un 70% lo poseen, según el estudio dirigido por Cánovas (2014).</w:t>
      </w:r>
      <w:r w:rsidR="00332299" w:rsidRPr="0001546D">
        <w:t xml:space="preserve"> En México según la </w:t>
      </w:r>
      <w:r w:rsidR="00B36D56" w:rsidRPr="0001546D">
        <w:t xml:space="preserve">Asociación de Internet MX, en el </w:t>
      </w:r>
      <w:r w:rsidR="00332299" w:rsidRPr="0001546D">
        <w:t>15° Estudio sobre los Hábitos de los Usuarios de Internet en México 2018</w:t>
      </w:r>
      <w:r w:rsidR="00B36D56" w:rsidRPr="0001546D">
        <w:t xml:space="preserve"> </w:t>
      </w:r>
      <w:r w:rsidR="00332299" w:rsidRPr="0001546D">
        <w:t xml:space="preserve">existen 82.7 millones de mexicanos usuarios de internet, donde los jóvenes entre 18 a 24 años representan el 18% del total de usuarios, y el 92% de los usuarios mexicanos utiliza como dispositivo de conexión a internet a través de su </w:t>
      </w:r>
      <w:r w:rsidR="00EE3BB2" w:rsidRPr="0001546D">
        <w:t>Smartphone.</w:t>
      </w:r>
    </w:p>
    <w:p w14:paraId="146B5C8F" w14:textId="77777777" w:rsidR="008B3BD8" w:rsidRPr="0001546D" w:rsidRDefault="008B3BD8" w:rsidP="0001546D">
      <w:pPr>
        <w:spacing w:line="360" w:lineRule="auto"/>
        <w:jc w:val="both"/>
        <w:rPr>
          <w:lang w:val="es-MX"/>
        </w:rPr>
      </w:pPr>
    </w:p>
    <w:p w14:paraId="7846ED41" w14:textId="000FEA48" w:rsidR="008B3BD8" w:rsidRPr="0001546D" w:rsidRDefault="008B3BD8" w:rsidP="0001546D">
      <w:pPr>
        <w:spacing w:line="360" w:lineRule="auto"/>
        <w:jc w:val="both"/>
      </w:pPr>
      <w:r w:rsidRPr="0001546D">
        <w:t>El estudio se en</w:t>
      </w:r>
      <w:r w:rsidR="000A2E5D" w:rsidRPr="0001546D">
        <w:t>marca dentro de un enfoque cuantitativo</w:t>
      </w:r>
      <w:r w:rsidRPr="0001546D">
        <w:t>, pues a través de una triangulación se quiere recolectar, analizar y vincular los datos cuantitativos para la comprensión e interpretación más amplia y profunda del fenómeno en estudio y su diseño es cuasi-experimental (Hernández, Fernández y Baptista, 2014).</w:t>
      </w:r>
    </w:p>
    <w:p w14:paraId="5DFEEC40" w14:textId="74C38B01" w:rsidR="008B3BD8" w:rsidRPr="0001546D" w:rsidRDefault="008B3BD8" w:rsidP="0001546D">
      <w:pPr>
        <w:spacing w:line="360" w:lineRule="auto"/>
        <w:jc w:val="both"/>
        <w:rPr>
          <w:lang w:val="es-MX"/>
        </w:rPr>
      </w:pPr>
      <w:r w:rsidRPr="0001546D">
        <w:t>En el estudio se seleccionaron dos grupo</w:t>
      </w:r>
      <w:r w:rsidR="00301E77" w:rsidRPr="0001546D">
        <w:t>s</w:t>
      </w:r>
      <w:r w:rsidRPr="0001546D">
        <w:t xml:space="preserve"> de nivel superior de licenciaturas que se imparten en  </w:t>
      </w:r>
      <w:r w:rsidRPr="0001546D">
        <w:rPr>
          <w:lang w:val="es-MX"/>
        </w:rPr>
        <w:t>Centro Universitario del Sur (</w:t>
      </w:r>
      <w:proofErr w:type="spellStart"/>
      <w:r w:rsidRPr="0001546D">
        <w:rPr>
          <w:lang w:val="es-MX"/>
        </w:rPr>
        <w:t>CUSur</w:t>
      </w:r>
      <w:proofErr w:type="spellEnd"/>
      <w:r w:rsidRPr="0001546D">
        <w:rPr>
          <w:lang w:val="es-MX"/>
        </w:rPr>
        <w:t>) de la Universidad de Guadalajara (U de G).  Ambos grupos son de primer semestre, uno es del Programa Educativo de Licenciatura en Enfermería y el Segundo de Licenciatura en Trabaj</w:t>
      </w:r>
      <w:r w:rsidR="003D27D6" w:rsidRPr="0001546D">
        <w:rPr>
          <w:lang w:val="es-MX"/>
        </w:rPr>
        <w:t>o Social, y no tienen otras materias de ciencias formales que apoyen al desarrollo de la estadística.</w:t>
      </w:r>
      <w:r w:rsidRPr="0001546D">
        <w:rPr>
          <w:lang w:val="es-MX"/>
        </w:rPr>
        <w:t xml:space="preserve"> </w:t>
      </w:r>
    </w:p>
    <w:p w14:paraId="0C028249" w14:textId="4604EF7F" w:rsidR="0077108B" w:rsidRPr="0001546D" w:rsidRDefault="00904369" w:rsidP="0001546D">
      <w:pPr>
        <w:spacing w:line="360" w:lineRule="auto"/>
        <w:jc w:val="both"/>
        <w:rPr>
          <w:lang w:val="es-MX"/>
        </w:rPr>
      </w:pPr>
      <w:r w:rsidRPr="0001546D">
        <w:rPr>
          <w:lang w:val="es-MX"/>
        </w:rPr>
        <w:t xml:space="preserve">Se trabajó con </w:t>
      </w:r>
      <w:r w:rsidR="0077108B" w:rsidRPr="0001546D">
        <w:rPr>
          <w:lang w:val="es-MX"/>
        </w:rPr>
        <w:t xml:space="preserve">38 alumnos del primer semestre del programa educativo de Trabajo Social </w:t>
      </w:r>
      <w:r w:rsidR="003D27D6" w:rsidRPr="0001546D">
        <w:rPr>
          <w:lang w:val="es-MX"/>
        </w:rPr>
        <w:t>como grupo experimental, y con 42 alumnos de Enfermería como grupo control.</w:t>
      </w:r>
    </w:p>
    <w:p w14:paraId="1BE7992C" w14:textId="5E078696" w:rsidR="00D37C6C" w:rsidRPr="0001546D" w:rsidRDefault="0077108B" w:rsidP="0001546D">
      <w:pPr>
        <w:spacing w:line="360" w:lineRule="auto"/>
        <w:jc w:val="both"/>
        <w:rPr>
          <w:lang w:val="es-MX"/>
        </w:rPr>
      </w:pPr>
      <w:r w:rsidRPr="0001546D">
        <w:rPr>
          <w:lang w:val="es-MX"/>
        </w:rPr>
        <w:t>El 95% de los estudiantes contaban con teléfono</w:t>
      </w:r>
      <w:r w:rsidR="00A5131D" w:rsidRPr="0001546D">
        <w:rPr>
          <w:lang w:val="es-MX"/>
        </w:rPr>
        <w:t xml:space="preserve"> móvil</w:t>
      </w:r>
      <w:r w:rsidRPr="0001546D">
        <w:rPr>
          <w:lang w:val="es-MX"/>
        </w:rPr>
        <w:t xml:space="preserve"> inteligente y descargaron la</w:t>
      </w:r>
      <w:r w:rsidR="00301E77" w:rsidRPr="0001546D">
        <w:rPr>
          <w:lang w:val="es-MX"/>
        </w:rPr>
        <w:t xml:space="preserve"> aplicación de manera gratuita</w:t>
      </w:r>
      <w:r w:rsidRPr="0001546D">
        <w:rPr>
          <w:lang w:val="es-MX"/>
        </w:rPr>
        <w:t>.  Los alumnos restantes t</w:t>
      </w:r>
      <w:r w:rsidR="00E3729C" w:rsidRPr="0001546D">
        <w:rPr>
          <w:lang w:val="es-MX"/>
        </w:rPr>
        <w:t>rabajaron en par con un compañero</w:t>
      </w:r>
      <w:r w:rsidRPr="0001546D">
        <w:rPr>
          <w:lang w:val="es-MX"/>
        </w:rPr>
        <w:t>.</w:t>
      </w:r>
      <w:r w:rsidR="006E21F1" w:rsidRPr="0001546D">
        <w:rPr>
          <w:lang w:val="es-MX"/>
        </w:rPr>
        <w:t xml:space="preserve"> </w:t>
      </w:r>
      <w:r w:rsidRPr="0001546D">
        <w:rPr>
          <w:lang w:val="es-MX"/>
        </w:rPr>
        <w:t xml:space="preserve">El CUSur cuenta con conexión </w:t>
      </w:r>
      <w:proofErr w:type="spellStart"/>
      <w:r w:rsidRPr="0001546D">
        <w:rPr>
          <w:lang w:val="es-MX"/>
        </w:rPr>
        <w:t>WiFi</w:t>
      </w:r>
      <w:proofErr w:type="spellEnd"/>
      <w:r w:rsidRPr="0001546D">
        <w:rPr>
          <w:lang w:val="es-MX"/>
        </w:rPr>
        <w:t xml:space="preserve"> en todo el campus, lo que permitió el acceso a la descarga de la aplicación.</w:t>
      </w:r>
    </w:p>
    <w:p w14:paraId="26207116" w14:textId="48817D3D" w:rsidR="00383511" w:rsidRPr="0001546D" w:rsidRDefault="003D27D6" w:rsidP="0001546D">
      <w:pPr>
        <w:spacing w:line="360" w:lineRule="auto"/>
        <w:jc w:val="both"/>
        <w:rPr>
          <w:lang w:val="es-MX"/>
        </w:rPr>
      </w:pPr>
      <w:r w:rsidRPr="0001546D">
        <w:rPr>
          <w:lang w:val="es-MX"/>
        </w:rPr>
        <w:t xml:space="preserve">Se les realizo una encuesta sobre el uso de dispositivos móviles a los 80 alumnos, donde se aborda el uso de los dispositivos móviles, redes sociales, computadora e internet. </w:t>
      </w:r>
    </w:p>
    <w:p w14:paraId="2AAE71A4" w14:textId="5BAFA4F8" w:rsidR="003D27D6" w:rsidRPr="0001546D" w:rsidRDefault="003D27D6" w:rsidP="0001546D">
      <w:pPr>
        <w:spacing w:line="360" w:lineRule="auto"/>
        <w:jc w:val="both"/>
        <w:rPr>
          <w:lang w:val="es-MX"/>
        </w:rPr>
      </w:pPr>
      <w:r w:rsidRPr="0001546D">
        <w:rPr>
          <w:lang w:val="es-MX"/>
        </w:rPr>
        <w:t xml:space="preserve">También se les hizo un diagnóstico sobre el conocimiento de operaciones </w:t>
      </w:r>
      <w:r w:rsidR="00C722FA" w:rsidRPr="0001546D">
        <w:rPr>
          <w:lang w:val="es-MX"/>
        </w:rPr>
        <w:t>álgebra básica, ubicando las</w:t>
      </w:r>
      <w:r w:rsidRPr="0001546D">
        <w:rPr>
          <w:lang w:val="es-MX"/>
        </w:rPr>
        <w:t xml:space="preserve"> principales acciones en esta área.</w:t>
      </w:r>
    </w:p>
    <w:p w14:paraId="15BCD323" w14:textId="05FD11CF" w:rsidR="008B59C0" w:rsidRPr="0001546D" w:rsidRDefault="00383511" w:rsidP="0001546D">
      <w:pPr>
        <w:spacing w:line="360" w:lineRule="auto"/>
        <w:jc w:val="both"/>
        <w:rPr>
          <w:lang w:val="es-MX"/>
        </w:rPr>
      </w:pPr>
      <w:r w:rsidRPr="0001546D">
        <w:rPr>
          <w:lang w:val="es-MX"/>
        </w:rPr>
        <w:t>Para el abordaje de la</w:t>
      </w:r>
      <w:r w:rsidR="003D27D6" w:rsidRPr="0001546D">
        <w:rPr>
          <w:lang w:val="es-MX"/>
        </w:rPr>
        <w:t xml:space="preserve"> primera</w:t>
      </w:r>
      <w:r w:rsidRPr="0001546D">
        <w:rPr>
          <w:lang w:val="es-MX"/>
        </w:rPr>
        <w:t xml:space="preserve"> etapa de la </w:t>
      </w:r>
      <w:r w:rsidRPr="0001546D">
        <w:rPr>
          <w:lang w:val="es-ES_tradnl"/>
        </w:rPr>
        <w:t>TFEAM</w:t>
      </w:r>
      <w:r w:rsidRPr="0001546D">
        <w:rPr>
          <w:lang w:val="es-MX"/>
        </w:rPr>
        <w:t xml:space="preserve"> los alumnos internalización los conceptos de la medidas de tendencia central</w:t>
      </w:r>
      <w:r w:rsidR="007658AD" w:rsidRPr="0001546D">
        <w:rPr>
          <w:lang w:val="es-MX"/>
        </w:rPr>
        <w:t>:</w:t>
      </w:r>
      <w:r w:rsidRPr="0001546D">
        <w:rPr>
          <w:lang w:val="es-MX"/>
        </w:rPr>
        <w:t xml:space="preserve"> media</w:t>
      </w:r>
      <w:r w:rsidR="007658AD" w:rsidRPr="0001546D">
        <w:rPr>
          <w:lang w:val="es-MX"/>
        </w:rPr>
        <w:t>,</w:t>
      </w:r>
      <w:r w:rsidRPr="0001546D">
        <w:rPr>
          <w:lang w:val="es-MX"/>
        </w:rPr>
        <w:t xml:space="preserve"> mediana y moda,</w:t>
      </w:r>
      <w:r w:rsidR="007658AD" w:rsidRPr="0001546D">
        <w:rPr>
          <w:lang w:val="es-MX"/>
        </w:rPr>
        <w:t xml:space="preserve"> </w:t>
      </w:r>
      <w:r w:rsidR="00714B16" w:rsidRPr="0001546D">
        <w:rPr>
          <w:lang w:val="es-MX"/>
        </w:rPr>
        <w:t>lo cual</w:t>
      </w:r>
      <w:r w:rsidRPr="0001546D">
        <w:rPr>
          <w:lang w:val="es-MX"/>
        </w:rPr>
        <w:t xml:space="preserve">  fue  un tanto simple por los ejemplos que se podían exponer en </w:t>
      </w:r>
      <w:r w:rsidR="007658AD" w:rsidRPr="0001546D">
        <w:rPr>
          <w:lang w:val="es-MX"/>
        </w:rPr>
        <w:t>común</w:t>
      </w:r>
      <w:r w:rsidRPr="0001546D">
        <w:rPr>
          <w:lang w:val="es-MX"/>
        </w:rPr>
        <w:t>;  para  lo  cual  los estudiantes  sustentaron  mediante  la  técnica  de  la  puesta  en  común,  ejemplos de resultados de estas medidas en su vida diaria, como promedios de pesos,</w:t>
      </w:r>
      <w:r w:rsidR="007658AD" w:rsidRPr="0001546D">
        <w:rPr>
          <w:lang w:val="es-MX"/>
        </w:rPr>
        <w:t xml:space="preserve"> altura,</w:t>
      </w:r>
      <w:r w:rsidRPr="0001546D">
        <w:rPr>
          <w:lang w:val="es-MX"/>
        </w:rPr>
        <w:t xml:space="preserve"> ingresos familiares, moda e</w:t>
      </w:r>
      <w:r w:rsidR="00232AFB" w:rsidRPr="0001546D">
        <w:rPr>
          <w:lang w:val="es-MX"/>
        </w:rPr>
        <w:t>n calificaciones expuestas en ká</w:t>
      </w:r>
      <w:r w:rsidRPr="0001546D">
        <w:rPr>
          <w:lang w:val="es-MX"/>
        </w:rPr>
        <w:t xml:space="preserve">rdex, etc.  en  donde  de manera  consciente,  no  memorística  explicaron  el  concepto  completo  de  las medidas de tendencia central.  </w:t>
      </w:r>
    </w:p>
    <w:p w14:paraId="06C623C2" w14:textId="6D30BE3F" w:rsidR="00383511" w:rsidRPr="0001546D" w:rsidRDefault="00383511" w:rsidP="0001546D">
      <w:pPr>
        <w:spacing w:line="360" w:lineRule="auto"/>
        <w:jc w:val="both"/>
        <w:rPr>
          <w:lang w:val="es-MX"/>
        </w:rPr>
      </w:pPr>
      <w:r w:rsidRPr="0001546D">
        <w:rPr>
          <w:lang w:val="es-MX"/>
        </w:rPr>
        <w:t>En esta  misma  etapa  se  combinó  la  etapa  verbal  externa, tanto  oral  como  escrita. Posteriormente se abordó de manera grupal el tema de la desviación estándar, exponiendo de manera descriptiva el algoritmo a desarrollar para obtener el resultado, dando énfasis en cada una de las etapa</w:t>
      </w:r>
      <w:r w:rsidR="00301E77" w:rsidRPr="0001546D">
        <w:rPr>
          <w:lang w:val="es-MX"/>
        </w:rPr>
        <w:t>s del algoritmo con ejemplos que incluían</w:t>
      </w:r>
      <w:r w:rsidRPr="0001546D">
        <w:rPr>
          <w:lang w:val="es-MX"/>
        </w:rPr>
        <w:t xml:space="preserve"> poco</w:t>
      </w:r>
      <w:r w:rsidR="00EE3BB2" w:rsidRPr="0001546D">
        <w:rPr>
          <w:lang w:val="es-MX"/>
        </w:rPr>
        <w:t>s</w:t>
      </w:r>
      <w:r w:rsidRPr="0001546D">
        <w:rPr>
          <w:lang w:val="es-MX"/>
        </w:rPr>
        <w:t xml:space="preserve"> datos y algunos otros ejemplos con una mayor cantidad de datos que hacían más</w:t>
      </w:r>
      <w:r w:rsidR="00301E77" w:rsidRPr="0001546D">
        <w:rPr>
          <w:lang w:val="es-MX"/>
        </w:rPr>
        <w:t xml:space="preserve"> complejo el despliegue d</w:t>
      </w:r>
      <w:r w:rsidRPr="0001546D">
        <w:rPr>
          <w:lang w:val="es-MX"/>
        </w:rPr>
        <w:t xml:space="preserve">el algoritmo. Seguidamente  se  presentaron  situaciones  para  que  los  estudiantes  </w:t>
      </w:r>
      <w:r w:rsidR="008B59C0" w:rsidRPr="0001546D">
        <w:rPr>
          <w:lang w:val="es-MX"/>
        </w:rPr>
        <w:t xml:space="preserve">apliquen </w:t>
      </w:r>
      <w:r w:rsidR="007658AD" w:rsidRPr="0001546D">
        <w:rPr>
          <w:lang w:val="es-MX"/>
        </w:rPr>
        <w:t xml:space="preserve">e </w:t>
      </w:r>
      <w:r w:rsidR="007658AD" w:rsidRPr="0001546D">
        <w:rPr>
          <w:lang w:val="es-MX"/>
        </w:rPr>
        <w:lastRenderedPageBreak/>
        <w:t>interpret</w:t>
      </w:r>
      <w:r w:rsidR="008B59C0" w:rsidRPr="0001546D">
        <w:rPr>
          <w:lang w:val="es-MX"/>
        </w:rPr>
        <w:t>en</w:t>
      </w:r>
      <w:r w:rsidR="007658AD" w:rsidRPr="0001546D">
        <w:rPr>
          <w:lang w:val="es-MX"/>
        </w:rPr>
        <w:t xml:space="preserve"> los resultados de la desviación estándar, dentro de los mismos ejemplos que ellos expusieron en el desarroll</w:t>
      </w:r>
      <w:r w:rsidR="008B59C0" w:rsidRPr="0001546D">
        <w:rPr>
          <w:lang w:val="es-MX"/>
        </w:rPr>
        <w:t>o del tema de las medidas de tendencia central</w:t>
      </w:r>
      <w:r w:rsidRPr="0001546D">
        <w:rPr>
          <w:lang w:val="es-MX"/>
        </w:rPr>
        <w:t>;</w:t>
      </w:r>
      <w:r w:rsidR="007658AD" w:rsidRPr="0001546D">
        <w:rPr>
          <w:lang w:val="es-MX"/>
        </w:rPr>
        <w:t xml:space="preserve"> En este punto se les pidió </w:t>
      </w:r>
      <w:r w:rsidR="00301E77" w:rsidRPr="0001546D">
        <w:rPr>
          <w:lang w:val="es-MX"/>
        </w:rPr>
        <w:t xml:space="preserve">a los alumnos del grupo experimental </w:t>
      </w:r>
      <w:r w:rsidR="007658AD" w:rsidRPr="0001546D">
        <w:rPr>
          <w:lang w:val="es-MX"/>
        </w:rPr>
        <w:t>que ingresaran los datos a la aplicación CEP y solamente dar cuenta del resultado (sin que los alumnos describieran cada paso del algoritmo)</w:t>
      </w:r>
      <w:r w:rsidR="008B59C0" w:rsidRPr="0001546D">
        <w:rPr>
          <w:lang w:val="es-MX"/>
        </w:rPr>
        <w:t>,</w:t>
      </w:r>
      <w:r w:rsidRPr="0001546D">
        <w:rPr>
          <w:lang w:val="es-MX"/>
        </w:rPr>
        <w:t xml:space="preserve"> </w:t>
      </w:r>
      <w:r w:rsidR="008B59C0" w:rsidRPr="0001546D">
        <w:rPr>
          <w:lang w:val="es-MX"/>
        </w:rPr>
        <w:t>realizándolo</w:t>
      </w:r>
      <w:r w:rsidRPr="0001546D">
        <w:rPr>
          <w:lang w:val="es-MX"/>
        </w:rPr>
        <w:t xml:space="preserve"> el estudiante en forma individual, lo cual, constituye la forma de la acción de “lenguaje para sí”,</w:t>
      </w:r>
      <w:r w:rsidR="008B59C0" w:rsidRPr="0001546D">
        <w:rPr>
          <w:lang w:val="es-MX"/>
        </w:rPr>
        <w:t xml:space="preserve"> con la ayuda sólo de la</w:t>
      </w:r>
      <w:r w:rsidRPr="0001546D">
        <w:rPr>
          <w:lang w:val="es-MX"/>
        </w:rPr>
        <w:t xml:space="preserve"> </w:t>
      </w:r>
      <w:r w:rsidR="007658AD" w:rsidRPr="0001546D">
        <w:rPr>
          <w:lang w:val="es-MX"/>
        </w:rPr>
        <w:t>aplicación</w:t>
      </w:r>
      <w:r w:rsidR="008B59C0" w:rsidRPr="0001546D">
        <w:rPr>
          <w:lang w:val="es-MX"/>
        </w:rPr>
        <w:t xml:space="preserve"> CEP</w:t>
      </w:r>
      <w:r w:rsidR="007658AD" w:rsidRPr="0001546D">
        <w:rPr>
          <w:lang w:val="es-MX"/>
        </w:rPr>
        <w:t xml:space="preserve"> en su teléfono celular</w:t>
      </w:r>
      <w:r w:rsidRPr="0001546D">
        <w:rPr>
          <w:lang w:val="es-MX"/>
        </w:rPr>
        <w:t>.</w:t>
      </w:r>
      <w:r w:rsidR="00301E77" w:rsidRPr="0001546D">
        <w:rPr>
          <w:lang w:val="es-MX"/>
        </w:rPr>
        <w:t xml:space="preserve"> El grupo control desarrolló el algoritmo de la desviación estándar en su cuaderno y apoyado con una calculadora, siguiendo las instrucciones del profesor, y la repetición de casos, resolviendo en cada ocasión las situaciones incorrectas del ejercicio en turno.</w:t>
      </w:r>
      <w:r w:rsidRPr="0001546D">
        <w:rPr>
          <w:lang w:val="es-MX"/>
        </w:rPr>
        <w:t xml:space="preserve"> También se debe presentar otra situación problemática en la que los estudiantes deben </w:t>
      </w:r>
      <w:r w:rsidR="000A2E5D" w:rsidRPr="0001546D">
        <w:rPr>
          <w:lang w:val="es-MX"/>
        </w:rPr>
        <w:t xml:space="preserve">realizar una lectura e interpretación de los resultados obtenidos, para dar paso al análisis de los datos de dispersión obtenida con la desviación </w:t>
      </w:r>
      <w:proofErr w:type="spellStart"/>
      <w:r w:rsidR="000A2E5D" w:rsidRPr="0001546D">
        <w:rPr>
          <w:lang w:val="es-MX"/>
        </w:rPr>
        <w:t>estandar</w:t>
      </w:r>
      <w:proofErr w:type="spellEnd"/>
      <w:r w:rsidRPr="0001546D">
        <w:rPr>
          <w:lang w:val="es-MX"/>
        </w:rPr>
        <w:t xml:space="preserve">, pero a diferencia de la anterior, sin ayuda </w:t>
      </w:r>
      <w:r w:rsidR="007658AD" w:rsidRPr="0001546D">
        <w:rPr>
          <w:lang w:val="es-MX"/>
        </w:rPr>
        <w:t>u orientación del profesor</w:t>
      </w:r>
      <w:r w:rsidRPr="0001546D">
        <w:rPr>
          <w:lang w:val="es-MX"/>
        </w:rPr>
        <w:t>. Esta etapa es propiamente la forma mental  de  la  acción</w:t>
      </w:r>
      <w:r w:rsidR="00301E77" w:rsidRPr="0001546D">
        <w:rPr>
          <w:lang w:val="es-MX"/>
        </w:rPr>
        <w:t>, donde a partir de la interpretación de los datos</w:t>
      </w:r>
      <w:r w:rsidR="00A85C7A" w:rsidRPr="0001546D">
        <w:rPr>
          <w:lang w:val="es-MX"/>
        </w:rPr>
        <w:t xml:space="preserve"> (obtenidos con los resultados de las medidas de tendencia central y desviación estándar)</w:t>
      </w:r>
      <w:r w:rsidR="00301E77" w:rsidRPr="0001546D">
        <w:rPr>
          <w:lang w:val="es-MX"/>
        </w:rPr>
        <w:t xml:space="preserve"> resultantes debían de tomar decisiones problemáticas</w:t>
      </w:r>
      <w:r w:rsidRPr="0001546D">
        <w:rPr>
          <w:lang w:val="es-MX"/>
        </w:rPr>
        <w:t xml:space="preserve">.  </w:t>
      </w:r>
      <w:r w:rsidR="007658AD" w:rsidRPr="0001546D">
        <w:rPr>
          <w:lang w:val="es-MX"/>
        </w:rPr>
        <w:t>La motivación y acompañamiento se convirtieron en etapas transversales durante todo el proceso</w:t>
      </w:r>
      <w:r w:rsidRPr="0001546D">
        <w:rPr>
          <w:lang w:val="es-MX"/>
        </w:rPr>
        <w:t>,</w:t>
      </w:r>
      <w:r w:rsidR="007658AD" w:rsidRPr="0001546D">
        <w:rPr>
          <w:lang w:val="es-MX"/>
        </w:rPr>
        <w:t xml:space="preserve"> apoyando al profesor a tener un control que apoya a la evaluación</w:t>
      </w:r>
    </w:p>
    <w:p w14:paraId="16F11621" w14:textId="77777777" w:rsidR="00BB2FA9" w:rsidRDefault="00BB2FA9" w:rsidP="0001546D">
      <w:pPr>
        <w:spacing w:line="360" w:lineRule="auto"/>
        <w:jc w:val="center"/>
        <w:rPr>
          <w:b/>
          <w:sz w:val="32"/>
          <w:lang w:val="es-MX"/>
        </w:rPr>
      </w:pPr>
    </w:p>
    <w:p w14:paraId="7B950DDD" w14:textId="66465796" w:rsidR="007658AD" w:rsidRPr="0001546D" w:rsidRDefault="003D27D6" w:rsidP="0001546D">
      <w:pPr>
        <w:spacing w:line="360" w:lineRule="auto"/>
        <w:jc w:val="center"/>
        <w:rPr>
          <w:b/>
          <w:sz w:val="32"/>
          <w:lang w:val="es-MX"/>
        </w:rPr>
      </w:pPr>
      <w:r w:rsidRPr="0001546D">
        <w:rPr>
          <w:b/>
          <w:sz w:val="32"/>
          <w:lang w:val="es-MX"/>
        </w:rPr>
        <w:t>Resultados</w:t>
      </w:r>
    </w:p>
    <w:p w14:paraId="413B82B7" w14:textId="04A7E554" w:rsidR="0081398D" w:rsidRDefault="003D27D6" w:rsidP="0001546D">
      <w:pPr>
        <w:spacing w:line="360" w:lineRule="auto"/>
        <w:jc w:val="both"/>
        <w:rPr>
          <w:lang w:val="es-MX"/>
        </w:rPr>
      </w:pPr>
      <w:r w:rsidRPr="0001546D">
        <w:rPr>
          <w:lang w:val="es-MX"/>
        </w:rPr>
        <w:t xml:space="preserve">En la encuesta realizada sobre el uso de dispositivos móviles </w:t>
      </w:r>
      <w:r w:rsidR="0081398D" w:rsidRPr="0001546D">
        <w:rPr>
          <w:lang w:val="es-MX"/>
        </w:rPr>
        <w:t>se  destaca que el 100% de los alumnos se conectan a internet todos los días (los alumnos que no tienen teléfono celular lo hacen en su casa en tabletas o computadoras)</w:t>
      </w:r>
      <w:r w:rsidRPr="0001546D">
        <w:rPr>
          <w:lang w:val="es-MX"/>
        </w:rPr>
        <w:t>,</w:t>
      </w:r>
      <w:r w:rsidR="0081398D" w:rsidRPr="0001546D">
        <w:rPr>
          <w:lang w:val="es-MX"/>
        </w:rPr>
        <w:t xml:space="preserve"> se conectan entre cinco y ocho veces al día ya que no tienen conectividad contratada en plan</w:t>
      </w:r>
      <w:r w:rsidR="00165DF0" w:rsidRPr="0001546D">
        <w:rPr>
          <w:lang w:val="es-MX"/>
        </w:rPr>
        <w:t xml:space="preserve"> fijo mensual</w:t>
      </w:r>
      <w:r w:rsidR="00316755">
        <w:rPr>
          <w:lang w:val="es-MX"/>
        </w:rPr>
        <w:t>, sino que</w:t>
      </w:r>
      <w:r w:rsidR="0081398D" w:rsidRPr="0001546D">
        <w:rPr>
          <w:lang w:val="es-MX"/>
        </w:rPr>
        <w:t xml:space="preserve"> pagan por adelantado un crédito de  tiempo para navegar, la principal acción en el uso del dispositivo móvil es hacer uso de redes sociales siguiéndole realizar llamadas telefónicas. El 80 % de los estudiantes tienen computadora de escritorio o portátil.</w:t>
      </w:r>
    </w:p>
    <w:p w14:paraId="38158243" w14:textId="2C331E65" w:rsidR="00F44E7A" w:rsidRDefault="00F44E7A" w:rsidP="0001546D">
      <w:pPr>
        <w:spacing w:line="360" w:lineRule="auto"/>
        <w:jc w:val="both"/>
        <w:rPr>
          <w:lang w:val="es-MX"/>
        </w:rPr>
      </w:pPr>
    </w:p>
    <w:p w14:paraId="4021DFFC" w14:textId="6E9A9179" w:rsidR="00F44E7A" w:rsidRDefault="00F44E7A" w:rsidP="0001546D">
      <w:pPr>
        <w:spacing w:line="360" w:lineRule="auto"/>
        <w:jc w:val="both"/>
        <w:rPr>
          <w:lang w:val="es-MX"/>
        </w:rPr>
      </w:pPr>
    </w:p>
    <w:p w14:paraId="3ACBC160" w14:textId="35C64170" w:rsidR="00F44E7A" w:rsidRDefault="00F44E7A" w:rsidP="0001546D">
      <w:pPr>
        <w:spacing w:line="360" w:lineRule="auto"/>
        <w:jc w:val="both"/>
        <w:rPr>
          <w:lang w:val="es-MX"/>
        </w:rPr>
      </w:pPr>
    </w:p>
    <w:p w14:paraId="11C93D0F" w14:textId="703813FB" w:rsidR="00F44E7A" w:rsidRDefault="00F44E7A" w:rsidP="0001546D">
      <w:pPr>
        <w:spacing w:line="360" w:lineRule="auto"/>
        <w:jc w:val="both"/>
        <w:rPr>
          <w:lang w:val="es-MX"/>
        </w:rPr>
      </w:pPr>
    </w:p>
    <w:p w14:paraId="3263727B" w14:textId="2C2B9A8C" w:rsidR="00F44E7A" w:rsidRDefault="00F44E7A" w:rsidP="0001546D">
      <w:pPr>
        <w:spacing w:line="360" w:lineRule="auto"/>
        <w:jc w:val="both"/>
        <w:rPr>
          <w:lang w:val="es-MX"/>
        </w:rPr>
      </w:pPr>
    </w:p>
    <w:p w14:paraId="1FD4B9BD" w14:textId="3EE64913" w:rsidR="00F44E7A" w:rsidRDefault="00F44E7A" w:rsidP="0001546D">
      <w:pPr>
        <w:spacing w:line="360" w:lineRule="auto"/>
        <w:jc w:val="both"/>
        <w:rPr>
          <w:lang w:val="es-MX"/>
        </w:rPr>
      </w:pPr>
    </w:p>
    <w:p w14:paraId="238E2756" w14:textId="77777777" w:rsidR="00F44E7A" w:rsidRDefault="00F44E7A" w:rsidP="0001546D">
      <w:pPr>
        <w:spacing w:line="360" w:lineRule="auto"/>
        <w:jc w:val="both"/>
        <w:rPr>
          <w:lang w:val="es-MX"/>
        </w:rPr>
      </w:pPr>
    </w:p>
    <w:p w14:paraId="2B6CB608" w14:textId="362B0100" w:rsidR="00316755" w:rsidRPr="00F44E7A" w:rsidRDefault="00316755" w:rsidP="00F44E7A">
      <w:pPr>
        <w:spacing w:line="360" w:lineRule="auto"/>
        <w:jc w:val="center"/>
        <w:rPr>
          <w:bCs/>
          <w:lang w:val="es-MX"/>
        </w:rPr>
      </w:pPr>
      <w:r w:rsidRPr="004B5062">
        <w:rPr>
          <w:b/>
          <w:lang w:val="es-MX"/>
        </w:rPr>
        <w:lastRenderedPageBreak/>
        <w:t>Tabla 1</w:t>
      </w:r>
      <w:r w:rsidR="00F44E7A">
        <w:rPr>
          <w:b/>
          <w:lang w:val="es-MX"/>
        </w:rPr>
        <w:t>.</w:t>
      </w:r>
      <w:r w:rsidRPr="004B5062">
        <w:rPr>
          <w:b/>
          <w:lang w:val="es-MX"/>
        </w:rPr>
        <w:t xml:space="preserve"> </w:t>
      </w:r>
      <w:r w:rsidR="004B5062" w:rsidRPr="00F44E7A">
        <w:rPr>
          <w:bCs/>
          <w:lang w:val="es-MX"/>
        </w:rPr>
        <w:t>U</w:t>
      </w:r>
      <w:r w:rsidR="00505C40" w:rsidRPr="00F44E7A">
        <w:rPr>
          <w:bCs/>
          <w:lang w:val="es-MX"/>
        </w:rPr>
        <w:t xml:space="preserve">so </w:t>
      </w:r>
      <w:r w:rsidR="004B5062" w:rsidRPr="00F44E7A">
        <w:rPr>
          <w:bCs/>
          <w:lang w:val="es-MX"/>
        </w:rPr>
        <w:t>del</w:t>
      </w:r>
      <w:r w:rsidR="00505C40" w:rsidRPr="00F44E7A">
        <w:rPr>
          <w:bCs/>
          <w:lang w:val="es-MX"/>
        </w:rPr>
        <w:t xml:space="preserve"> </w:t>
      </w:r>
      <w:r w:rsidR="004B5062" w:rsidRPr="00F44E7A">
        <w:rPr>
          <w:bCs/>
          <w:lang w:val="es-MX"/>
        </w:rPr>
        <w:t>Smartphone en universitarios</w:t>
      </w:r>
    </w:p>
    <w:tbl>
      <w:tblPr>
        <w:tblStyle w:val="Tablaconcuadrcula"/>
        <w:tblW w:w="7225" w:type="dxa"/>
        <w:jc w:val="center"/>
        <w:tblLook w:val="04A0" w:firstRow="1" w:lastRow="0" w:firstColumn="1" w:lastColumn="0" w:noHBand="0" w:noVBand="1"/>
      </w:tblPr>
      <w:tblGrid>
        <w:gridCol w:w="2547"/>
        <w:gridCol w:w="1205"/>
        <w:gridCol w:w="1205"/>
        <w:gridCol w:w="1134"/>
        <w:gridCol w:w="1134"/>
      </w:tblGrid>
      <w:tr w:rsidR="00316755" w14:paraId="5D640020" w14:textId="77777777" w:rsidTr="004B5062">
        <w:trPr>
          <w:jc w:val="center"/>
        </w:trPr>
        <w:tc>
          <w:tcPr>
            <w:tcW w:w="2547" w:type="dxa"/>
          </w:tcPr>
          <w:p w14:paraId="2F66FA97" w14:textId="77777777" w:rsidR="00316755" w:rsidRDefault="00316755" w:rsidP="00E40ECB">
            <w:pPr>
              <w:spacing w:line="360" w:lineRule="auto"/>
              <w:jc w:val="both"/>
              <w:rPr>
                <w:lang w:val="es-MX"/>
              </w:rPr>
            </w:pPr>
          </w:p>
        </w:tc>
        <w:tc>
          <w:tcPr>
            <w:tcW w:w="2410" w:type="dxa"/>
            <w:gridSpan w:val="2"/>
          </w:tcPr>
          <w:p w14:paraId="1CA840B5" w14:textId="77777777" w:rsidR="00316755" w:rsidRDefault="00316755" w:rsidP="00E40ECB">
            <w:pPr>
              <w:spacing w:line="360" w:lineRule="auto"/>
              <w:jc w:val="both"/>
              <w:rPr>
                <w:lang w:val="es-MX"/>
              </w:rPr>
            </w:pPr>
            <w:r>
              <w:rPr>
                <w:lang w:val="es-MX"/>
              </w:rPr>
              <w:t>Trabajo Social (grupo experimental)</w:t>
            </w:r>
          </w:p>
        </w:tc>
        <w:tc>
          <w:tcPr>
            <w:tcW w:w="2268" w:type="dxa"/>
            <w:gridSpan w:val="2"/>
          </w:tcPr>
          <w:p w14:paraId="7DC72F06" w14:textId="77777777" w:rsidR="00316755" w:rsidRDefault="00316755" w:rsidP="00E40ECB">
            <w:pPr>
              <w:spacing w:line="360" w:lineRule="auto"/>
              <w:jc w:val="both"/>
              <w:rPr>
                <w:lang w:val="es-MX"/>
              </w:rPr>
            </w:pPr>
            <w:r>
              <w:rPr>
                <w:lang w:val="es-MX"/>
              </w:rPr>
              <w:t>Enfermería (grupo control)</w:t>
            </w:r>
          </w:p>
        </w:tc>
      </w:tr>
      <w:tr w:rsidR="00316755" w14:paraId="3AD79371" w14:textId="77777777" w:rsidTr="004B5062">
        <w:trPr>
          <w:jc w:val="center"/>
        </w:trPr>
        <w:tc>
          <w:tcPr>
            <w:tcW w:w="2547" w:type="dxa"/>
          </w:tcPr>
          <w:p w14:paraId="6065AAB5" w14:textId="77777777" w:rsidR="00316755" w:rsidRDefault="00316755" w:rsidP="00E40ECB">
            <w:pPr>
              <w:spacing w:line="360" w:lineRule="auto"/>
              <w:jc w:val="both"/>
              <w:rPr>
                <w:lang w:val="es-MX"/>
              </w:rPr>
            </w:pPr>
            <w:r>
              <w:rPr>
                <w:lang w:val="es-MX"/>
              </w:rPr>
              <w:t>USO DE TICS</w:t>
            </w:r>
          </w:p>
        </w:tc>
        <w:tc>
          <w:tcPr>
            <w:tcW w:w="1205" w:type="dxa"/>
          </w:tcPr>
          <w:p w14:paraId="3752CEDA" w14:textId="77777777" w:rsidR="00316755" w:rsidRDefault="00316755" w:rsidP="00E40ECB">
            <w:pPr>
              <w:spacing w:line="360" w:lineRule="auto"/>
              <w:jc w:val="both"/>
              <w:rPr>
                <w:lang w:val="es-MX"/>
              </w:rPr>
            </w:pPr>
            <w:r>
              <w:rPr>
                <w:lang w:val="es-MX"/>
              </w:rPr>
              <w:t>Si</w:t>
            </w:r>
          </w:p>
        </w:tc>
        <w:tc>
          <w:tcPr>
            <w:tcW w:w="1205" w:type="dxa"/>
          </w:tcPr>
          <w:p w14:paraId="7ED646A6" w14:textId="77777777" w:rsidR="00316755" w:rsidRDefault="00316755" w:rsidP="00E40ECB">
            <w:pPr>
              <w:spacing w:line="360" w:lineRule="auto"/>
              <w:jc w:val="both"/>
              <w:rPr>
                <w:lang w:val="es-MX"/>
              </w:rPr>
            </w:pPr>
            <w:r>
              <w:rPr>
                <w:lang w:val="es-MX"/>
              </w:rPr>
              <w:t>No</w:t>
            </w:r>
          </w:p>
        </w:tc>
        <w:tc>
          <w:tcPr>
            <w:tcW w:w="1134" w:type="dxa"/>
          </w:tcPr>
          <w:p w14:paraId="7D615D1D" w14:textId="77777777" w:rsidR="00316755" w:rsidRDefault="00316755" w:rsidP="00E40ECB">
            <w:pPr>
              <w:spacing w:line="360" w:lineRule="auto"/>
              <w:jc w:val="both"/>
              <w:rPr>
                <w:lang w:val="es-MX"/>
              </w:rPr>
            </w:pPr>
            <w:r>
              <w:rPr>
                <w:lang w:val="es-MX"/>
              </w:rPr>
              <w:t>Si</w:t>
            </w:r>
          </w:p>
        </w:tc>
        <w:tc>
          <w:tcPr>
            <w:tcW w:w="1134" w:type="dxa"/>
          </w:tcPr>
          <w:p w14:paraId="1B3E29D5" w14:textId="77777777" w:rsidR="00316755" w:rsidRDefault="00316755" w:rsidP="00E40ECB">
            <w:pPr>
              <w:spacing w:line="360" w:lineRule="auto"/>
              <w:jc w:val="both"/>
              <w:rPr>
                <w:lang w:val="es-MX"/>
              </w:rPr>
            </w:pPr>
            <w:r>
              <w:rPr>
                <w:lang w:val="es-MX"/>
              </w:rPr>
              <w:t>No</w:t>
            </w:r>
          </w:p>
        </w:tc>
      </w:tr>
      <w:tr w:rsidR="00316755" w14:paraId="0EF048F7" w14:textId="77777777" w:rsidTr="004B5062">
        <w:trPr>
          <w:jc w:val="center"/>
        </w:trPr>
        <w:tc>
          <w:tcPr>
            <w:tcW w:w="2547" w:type="dxa"/>
          </w:tcPr>
          <w:p w14:paraId="7B401F54" w14:textId="77777777" w:rsidR="00316755" w:rsidRDefault="00316755" w:rsidP="00E40ECB">
            <w:pPr>
              <w:spacing w:line="360" w:lineRule="auto"/>
              <w:jc w:val="both"/>
              <w:rPr>
                <w:lang w:val="es-MX"/>
              </w:rPr>
            </w:pPr>
            <w:r>
              <w:rPr>
                <w:lang w:val="es-MX"/>
              </w:rPr>
              <w:t>Tienes teléfono celular (Smartphone)</w:t>
            </w:r>
          </w:p>
        </w:tc>
        <w:tc>
          <w:tcPr>
            <w:tcW w:w="1205" w:type="dxa"/>
          </w:tcPr>
          <w:p w14:paraId="65FECC14" w14:textId="77777777" w:rsidR="00316755" w:rsidRDefault="00316755" w:rsidP="00E40ECB">
            <w:pPr>
              <w:spacing w:line="360" w:lineRule="auto"/>
              <w:jc w:val="both"/>
              <w:rPr>
                <w:lang w:val="es-MX"/>
              </w:rPr>
            </w:pPr>
            <w:r>
              <w:rPr>
                <w:lang w:val="es-MX"/>
              </w:rPr>
              <w:t>36</w:t>
            </w:r>
          </w:p>
        </w:tc>
        <w:tc>
          <w:tcPr>
            <w:tcW w:w="1205" w:type="dxa"/>
          </w:tcPr>
          <w:p w14:paraId="7AE81120" w14:textId="77777777" w:rsidR="00316755" w:rsidRDefault="00316755" w:rsidP="00E40ECB">
            <w:pPr>
              <w:spacing w:line="360" w:lineRule="auto"/>
              <w:jc w:val="both"/>
              <w:rPr>
                <w:lang w:val="es-MX"/>
              </w:rPr>
            </w:pPr>
            <w:r>
              <w:rPr>
                <w:lang w:val="es-MX"/>
              </w:rPr>
              <w:t>2</w:t>
            </w:r>
          </w:p>
        </w:tc>
        <w:tc>
          <w:tcPr>
            <w:tcW w:w="1134" w:type="dxa"/>
          </w:tcPr>
          <w:p w14:paraId="33E5EE1D" w14:textId="77777777" w:rsidR="00316755" w:rsidRDefault="00316755" w:rsidP="00E40ECB">
            <w:pPr>
              <w:spacing w:line="360" w:lineRule="auto"/>
              <w:jc w:val="both"/>
              <w:rPr>
                <w:lang w:val="es-MX"/>
              </w:rPr>
            </w:pPr>
            <w:r>
              <w:rPr>
                <w:lang w:val="es-MX"/>
              </w:rPr>
              <w:t>39</w:t>
            </w:r>
          </w:p>
        </w:tc>
        <w:tc>
          <w:tcPr>
            <w:tcW w:w="1134" w:type="dxa"/>
          </w:tcPr>
          <w:p w14:paraId="16ECA12F" w14:textId="77777777" w:rsidR="00316755" w:rsidRDefault="00316755" w:rsidP="00E40ECB">
            <w:pPr>
              <w:spacing w:line="360" w:lineRule="auto"/>
              <w:jc w:val="both"/>
              <w:rPr>
                <w:lang w:val="es-MX"/>
              </w:rPr>
            </w:pPr>
            <w:r>
              <w:rPr>
                <w:lang w:val="es-MX"/>
              </w:rPr>
              <w:t>3</w:t>
            </w:r>
          </w:p>
        </w:tc>
      </w:tr>
      <w:tr w:rsidR="00316755" w14:paraId="2D6EC4AA" w14:textId="77777777" w:rsidTr="004B5062">
        <w:trPr>
          <w:jc w:val="center"/>
        </w:trPr>
        <w:tc>
          <w:tcPr>
            <w:tcW w:w="2547" w:type="dxa"/>
          </w:tcPr>
          <w:p w14:paraId="332BEABF" w14:textId="77777777" w:rsidR="00316755" w:rsidRDefault="00316755" w:rsidP="00E40ECB">
            <w:pPr>
              <w:spacing w:line="360" w:lineRule="auto"/>
              <w:jc w:val="both"/>
              <w:rPr>
                <w:lang w:val="es-MX"/>
              </w:rPr>
            </w:pPr>
            <w:r>
              <w:rPr>
                <w:lang w:val="es-MX"/>
              </w:rPr>
              <w:t>Navegas por internet</w:t>
            </w:r>
          </w:p>
        </w:tc>
        <w:tc>
          <w:tcPr>
            <w:tcW w:w="1205" w:type="dxa"/>
          </w:tcPr>
          <w:p w14:paraId="36D97203" w14:textId="77777777" w:rsidR="00316755" w:rsidRDefault="00316755" w:rsidP="00E40ECB">
            <w:pPr>
              <w:spacing w:line="360" w:lineRule="auto"/>
              <w:jc w:val="both"/>
              <w:rPr>
                <w:lang w:val="es-MX"/>
              </w:rPr>
            </w:pPr>
            <w:r>
              <w:rPr>
                <w:lang w:val="es-MX"/>
              </w:rPr>
              <w:t>38</w:t>
            </w:r>
          </w:p>
        </w:tc>
        <w:tc>
          <w:tcPr>
            <w:tcW w:w="1205" w:type="dxa"/>
          </w:tcPr>
          <w:p w14:paraId="4EF7A1A6" w14:textId="77777777" w:rsidR="00316755" w:rsidRDefault="00316755" w:rsidP="00E40ECB">
            <w:pPr>
              <w:spacing w:line="360" w:lineRule="auto"/>
              <w:jc w:val="both"/>
              <w:rPr>
                <w:lang w:val="es-MX"/>
              </w:rPr>
            </w:pPr>
            <w:r>
              <w:rPr>
                <w:lang w:val="es-MX"/>
              </w:rPr>
              <w:t>0</w:t>
            </w:r>
          </w:p>
        </w:tc>
        <w:tc>
          <w:tcPr>
            <w:tcW w:w="1134" w:type="dxa"/>
          </w:tcPr>
          <w:p w14:paraId="0D013EDD" w14:textId="77777777" w:rsidR="00316755" w:rsidRDefault="00316755" w:rsidP="00E40ECB">
            <w:pPr>
              <w:spacing w:line="360" w:lineRule="auto"/>
              <w:jc w:val="both"/>
              <w:rPr>
                <w:lang w:val="es-MX"/>
              </w:rPr>
            </w:pPr>
            <w:r>
              <w:rPr>
                <w:lang w:val="es-MX"/>
              </w:rPr>
              <w:t>42</w:t>
            </w:r>
          </w:p>
        </w:tc>
        <w:tc>
          <w:tcPr>
            <w:tcW w:w="1134" w:type="dxa"/>
          </w:tcPr>
          <w:p w14:paraId="03D56ACC" w14:textId="77777777" w:rsidR="00316755" w:rsidRDefault="00316755" w:rsidP="00E40ECB">
            <w:pPr>
              <w:spacing w:line="360" w:lineRule="auto"/>
              <w:jc w:val="both"/>
              <w:rPr>
                <w:lang w:val="es-MX"/>
              </w:rPr>
            </w:pPr>
            <w:r>
              <w:rPr>
                <w:lang w:val="es-MX"/>
              </w:rPr>
              <w:t>0</w:t>
            </w:r>
          </w:p>
        </w:tc>
      </w:tr>
      <w:tr w:rsidR="00316755" w14:paraId="4D46199F" w14:textId="77777777" w:rsidTr="004B5062">
        <w:trPr>
          <w:jc w:val="center"/>
        </w:trPr>
        <w:tc>
          <w:tcPr>
            <w:tcW w:w="2547" w:type="dxa"/>
          </w:tcPr>
          <w:p w14:paraId="0D7B7C36" w14:textId="77777777" w:rsidR="00316755" w:rsidRDefault="00316755" w:rsidP="00E40ECB">
            <w:pPr>
              <w:spacing w:line="360" w:lineRule="auto"/>
              <w:jc w:val="both"/>
              <w:rPr>
                <w:lang w:val="es-MX"/>
              </w:rPr>
            </w:pPr>
            <w:r>
              <w:rPr>
                <w:lang w:val="es-MX"/>
              </w:rPr>
              <w:t>Orden de las acciones en el teléfono celular</w:t>
            </w:r>
          </w:p>
        </w:tc>
        <w:tc>
          <w:tcPr>
            <w:tcW w:w="4678" w:type="dxa"/>
            <w:gridSpan w:val="4"/>
          </w:tcPr>
          <w:p w14:paraId="5558DDE9" w14:textId="77777777" w:rsidR="00316755" w:rsidRDefault="00316755" w:rsidP="00E40ECB">
            <w:pPr>
              <w:spacing w:line="360" w:lineRule="auto"/>
              <w:jc w:val="both"/>
              <w:rPr>
                <w:lang w:val="es-MX"/>
              </w:rPr>
            </w:pPr>
          </w:p>
        </w:tc>
      </w:tr>
      <w:tr w:rsidR="00316755" w14:paraId="50219763" w14:textId="77777777" w:rsidTr="004B5062">
        <w:trPr>
          <w:jc w:val="center"/>
        </w:trPr>
        <w:tc>
          <w:tcPr>
            <w:tcW w:w="2547" w:type="dxa"/>
          </w:tcPr>
          <w:p w14:paraId="1551CAC5" w14:textId="77777777" w:rsidR="00316755" w:rsidRPr="00E132C7" w:rsidRDefault="00316755" w:rsidP="00E40ECB">
            <w:pPr>
              <w:pStyle w:val="Prrafodelista"/>
              <w:numPr>
                <w:ilvl w:val="0"/>
                <w:numId w:val="2"/>
              </w:numPr>
              <w:spacing w:line="360" w:lineRule="auto"/>
              <w:jc w:val="both"/>
              <w:rPr>
                <w:lang w:val="es-MX"/>
              </w:rPr>
            </w:pPr>
            <w:r w:rsidRPr="00E132C7">
              <w:rPr>
                <w:lang w:val="es-MX"/>
              </w:rPr>
              <w:t>Redes sociales</w:t>
            </w:r>
          </w:p>
        </w:tc>
        <w:tc>
          <w:tcPr>
            <w:tcW w:w="2410" w:type="dxa"/>
            <w:gridSpan w:val="2"/>
          </w:tcPr>
          <w:p w14:paraId="7DDCB184" w14:textId="77777777" w:rsidR="00316755" w:rsidRDefault="00316755" w:rsidP="00E40ECB">
            <w:pPr>
              <w:spacing w:line="360" w:lineRule="auto"/>
              <w:jc w:val="both"/>
              <w:rPr>
                <w:lang w:val="es-MX"/>
              </w:rPr>
            </w:pPr>
            <w:r>
              <w:rPr>
                <w:lang w:val="es-MX"/>
              </w:rPr>
              <w:t>91%</w:t>
            </w:r>
          </w:p>
        </w:tc>
        <w:tc>
          <w:tcPr>
            <w:tcW w:w="1134" w:type="dxa"/>
          </w:tcPr>
          <w:p w14:paraId="16931FDF" w14:textId="77777777" w:rsidR="00316755" w:rsidRDefault="00316755" w:rsidP="00E40ECB">
            <w:pPr>
              <w:spacing w:line="360" w:lineRule="auto"/>
              <w:jc w:val="both"/>
              <w:rPr>
                <w:lang w:val="es-MX"/>
              </w:rPr>
            </w:pPr>
            <w:r>
              <w:rPr>
                <w:lang w:val="es-MX"/>
              </w:rPr>
              <w:t>89%</w:t>
            </w:r>
          </w:p>
        </w:tc>
        <w:tc>
          <w:tcPr>
            <w:tcW w:w="1134" w:type="dxa"/>
          </w:tcPr>
          <w:p w14:paraId="253A7EDC" w14:textId="77777777" w:rsidR="00316755" w:rsidRDefault="00316755" w:rsidP="00E40ECB">
            <w:pPr>
              <w:spacing w:line="360" w:lineRule="auto"/>
              <w:jc w:val="both"/>
              <w:rPr>
                <w:lang w:val="es-MX"/>
              </w:rPr>
            </w:pPr>
          </w:p>
        </w:tc>
      </w:tr>
      <w:tr w:rsidR="00316755" w14:paraId="0D96F369" w14:textId="77777777" w:rsidTr="004B5062">
        <w:trPr>
          <w:jc w:val="center"/>
        </w:trPr>
        <w:tc>
          <w:tcPr>
            <w:tcW w:w="2547" w:type="dxa"/>
          </w:tcPr>
          <w:p w14:paraId="33B98629" w14:textId="77777777" w:rsidR="00316755" w:rsidRPr="00E132C7" w:rsidRDefault="00316755" w:rsidP="00E40ECB">
            <w:pPr>
              <w:pStyle w:val="Prrafodelista"/>
              <w:numPr>
                <w:ilvl w:val="0"/>
                <w:numId w:val="2"/>
              </w:numPr>
              <w:spacing w:line="360" w:lineRule="auto"/>
              <w:jc w:val="both"/>
              <w:rPr>
                <w:lang w:val="es-MX"/>
              </w:rPr>
            </w:pPr>
            <w:r>
              <w:rPr>
                <w:lang w:val="es-MX"/>
              </w:rPr>
              <w:t>Ver videos</w:t>
            </w:r>
          </w:p>
        </w:tc>
        <w:tc>
          <w:tcPr>
            <w:tcW w:w="1205" w:type="dxa"/>
          </w:tcPr>
          <w:p w14:paraId="6F5C9A86" w14:textId="77777777" w:rsidR="00316755" w:rsidRDefault="00316755" w:rsidP="00E40ECB">
            <w:pPr>
              <w:spacing w:line="360" w:lineRule="auto"/>
              <w:jc w:val="both"/>
              <w:rPr>
                <w:lang w:val="es-MX"/>
              </w:rPr>
            </w:pPr>
            <w:r>
              <w:rPr>
                <w:lang w:val="es-MX"/>
              </w:rPr>
              <w:t>65%</w:t>
            </w:r>
          </w:p>
        </w:tc>
        <w:tc>
          <w:tcPr>
            <w:tcW w:w="1205" w:type="dxa"/>
          </w:tcPr>
          <w:p w14:paraId="4EA0F965" w14:textId="77777777" w:rsidR="00316755" w:rsidRDefault="00316755" w:rsidP="00E40ECB">
            <w:pPr>
              <w:spacing w:line="360" w:lineRule="auto"/>
              <w:jc w:val="both"/>
              <w:rPr>
                <w:lang w:val="es-MX"/>
              </w:rPr>
            </w:pPr>
          </w:p>
        </w:tc>
        <w:tc>
          <w:tcPr>
            <w:tcW w:w="1134" w:type="dxa"/>
          </w:tcPr>
          <w:p w14:paraId="108C7521" w14:textId="77777777" w:rsidR="00316755" w:rsidRDefault="00316755" w:rsidP="00E40ECB">
            <w:pPr>
              <w:spacing w:line="360" w:lineRule="auto"/>
              <w:jc w:val="both"/>
              <w:rPr>
                <w:lang w:val="es-MX"/>
              </w:rPr>
            </w:pPr>
            <w:r>
              <w:rPr>
                <w:lang w:val="es-MX"/>
              </w:rPr>
              <w:t>71%</w:t>
            </w:r>
          </w:p>
        </w:tc>
        <w:tc>
          <w:tcPr>
            <w:tcW w:w="1134" w:type="dxa"/>
          </w:tcPr>
          <w:p w14:paraId="777639DE" w14:textId="77777777" w:rsidR="00316755" w:rsidRDefault="00316755" w:rsidP="00E40ECB">
            <w:pPr>
              <w:spacing w:line="360" w:lineRule="auto"/>
              <w:jc w:val="both"/>
              <w:rPr>
                <w:lang w:val="es-MX"/>
              </w:rPr>
            </w:pPr>
          </w:p>
        </w:tc>
      </w:tr>
      <w:tr w:rsidR="00316755" w14:paraId="20424429" w14:textId="77777777" w:rsidTr="004B5062">
        <w:trPr>
          <w:jc w:val="center"/>
        </w:trPr>
        <w:tc>
          <w:tcPr>
            <w:tcW w:w="2547" w:type="dxa"/>
          </w:tcPr>
          <w:p w14:paraId="7304BD10" w14:textId="77777777" w:rsidR="00316755" w:rsidRPr="00E132C7" w:rsidRDefault="00316755" w:rsidP="00E40ECB">
            <w:pPr>
              <w:pStyle w:val="Prrafodelista"/>
              <w:numPr>
                <w:ilvl w:val="0"/>
                <w:numId w:val="2"/>
              </w:numPr>
              <w:spacing w:line="360" w:lineRule="auto"/>
              <w:jc w:val="both"/>
              <w:rPr>
                <w:lang w:val="es-MX"/>
              </w:rPr>
            </w:pPr>
            <w:r>
              <w:rPr>
                <w:lang w:val="es-MX"/>
              </w:rPr>
              <w:t>Tomar fotos</w:t>
            </w:r>
          </w:p>
        </w:tc>
        <w:tc>
          <w:tcPr>
            <w:tcW w:w="1205" w:type="dxa"/>
          </w:tcPr>
          <w:p w14:paraId="17D5F850" w14:textId="77777777" w:rsidR="00316755" w:rsidRDefault="00316755" w:rsidP="00E40ECB">
            <w:pPr>
              <w:spacing w:line="360" w:lineRule="auto"/>
              <w:jc w:val="both"/>
              <w:rPr>
                <w:lang w:val="es-MX"/>
              </w:rPr>
            </w:pPr>
            <w:r>
              <w:rPr>
                <w:lang w:val="es-MX"/>
              </w:rPr>
              <w:t>62%</w:t>
            </w:r>
          </w:p>
        </w:tc>
        <w:tc>
          <w:tcPr>
            <w:tcW w:w="1205" w:type="dxa"/>
          </w:tcPr>
          <w:p w14:paraId="06A3E551" w14:textId="77777777" w:rsidR="00316755" w:rsidRDefault="00316755" w:rsidP="00E40ECB">
            <w:pPr>
              <w:spacing w:line="360" w:lineRule="auto"/>
              <w:jc w:val="both"/>
              <w:rPr>
                <w:lang w:val="es-MX"/>
              </w:rPr>
            </w:pPr>
          </w:p>
        </w:tc>
        <w:tc>
          <w:tcPr>
            <w:tcW w:w="1134" w:type="dxa"/>
          </w:tcPr>
          <w:p w14:paraId="58A0F624" w14:textId="77777777" w:rsidR="00316755" w:rsidRDefault="00316755" w:rsidP="00E40ECB">
            <w:pPr>
              <w:spacing w:line="360" w:lineRule="auto"/>
              <w:jc w:val="both"/>
              <w:rPr>
                <w:lang w:val="es-MX"/>
              </w:rPr>
            </w:pPr>
            <w:r>
              <w:rPr>
                <w:lang w:val="es-MX"/>
              </w:rPr>
              <w:t>67%</w:t>
            </w:r>
          </w:p>
        </w:tc>
        <w:tc>
          <w:tcPr>
            <w:tcW w:w="1134" w:type="dxa"/>
          </w:tcPr>
          <w:p w14:paraId="320FB93E" w14:textId="77777777" w:rsidR="00316755" w:rsidRDefault="00316755" w:rsidP="00E40ECB">
            <w:pPr>
              <w:spacing w:line="360" w:lineRule="auto"/>
              <w:jc w:val="both"/>
              <w:rPr>
                <w:lang w:val="es-MX"/>
              </w:rPr>
            </w:pPr>
          </w:p>
        </w:tc>
      </w:tr>
      <w:tr w:rsidR="00316755" w14:paraId="3449E69E" w14:textId="77777777" w:rsidTr="004B5062">
        <w:trPr>
          <w:jc w:val="center"/>
        </w:trPr>
        <w:tc>
          <w:tcPr>
            <w:tcW w:w="2547" w:type="dxa"/>
          </w:tcPr>
          <w:p w14:paraId="293D9B0F" w14:textId="77777777" w:rsidR="00316755" w:rsidRPr="00E132C7" w:rsidRDefault="00316755" w:rsidP="00E40ECB">
            <w:pPr>
              <w:pStyle w:val="Prrafodelista"/>
              <w:numPr>
                <w:ilvl w:val="0"/>
                <w:numId w:val="2"/>
              </w:numPr>
              <w:spacing w:line="360" w:lineRule="auto"/>
              <w:jc w:val="both"/>
              <w:rPr>
                <w:lang w:val="es-MX"/>
              </w:rPr>
            </w:pPr>
            <w:r>
              <w:rPr>
                <w:lang w:val="es-MX"/>
              </w:rPr>
              <w:t>Escuchar Música</w:t>
            </w:r>
          </w:p>
        </w:tc>
        <w:tc>
          <w:tcPr>
            <w:tcW w:w="1205" w:type="dxa"/>
          </w:tcPr>
          <w:p w14:paraId="3B7250D6" w14:textId="77777777" w:rsidR="00316755" w:rsidRDefault="00316755" w:rsidP="00E40ECB">
            <w:pPr>
              <w:spacing w:line="360" w:lineRule="auto"/>
              <w:jc w:val="both"/>
              <w:rPr>
                <w:lang w:val="es-MX"/>
              </w:rPr>
            </w:pPr>
            <w:r>
              <w:rPr>
                <w:lang w:val="es-MX"/>
              </w:rPr>
              <w:t>53%</w:t>
            </w:r>
          </w:p>
        </w:tc>
        <w:tc>
          <w:tcPr>
            <w:tcW w:w="1205" w:type="dxa"/>
          </w:tcPr>
          <w:p w14:paraId="2B93F909" w14:textId="77777777" w:rsidR="00316755" w:rsidRDefault="00316755" w:rsidP="00E40ECB">
            <w:pPr>
              <w:spacing w:line="360" w:lineRule="auto"/>
              <w:jc w:val="both"/>
              <w:rPr>
                <w:lang w:val="es-MX"/>
              </w:rPr>
            </w:pPr>
          </w:p>
        </w:tc>
        <w:tc>
          <w:tcPr>
            <w:tcW w:w="1134" w:type="dxa"/>
          </w:tcPr>
          <w:p w14:paraId="66C59932" w14:textId="77777777" w:rsidR="00316755" w:rsidRDefault="00316755" w:rsidP="00E40ECB">
            <w:pPr>
              <w:spacing w:line="360" w:lineRule="auto"/>
              <w:jc w:val="both"/>
              <w:rPr>
                <w:lang w:val="es-MX"/>
              </w:rPr>
            </w:pPr>
            <w:r>
              <w:rPr>
                <w:lang w:val="es-MX"/>
              </w:rPr>
              <w:t>46%</w:t>
            </w:r>
          </w:p>
        </w:tc>
        <w:tc>
          <w:tcPr>
            <w:tcW w:w="1134" w:type="dxa"/>
          </w:tcPr>
          <w:p w14:paraId="45930594" w14:textId="77777777" w:rsidR="00316755" w:rsidRDefault="00316755" w:rsidP="00E40ECB">
            <w:pPr>
              <w:spacing w:line="360" w:lineRule="auto"/>
              <w:jc w:val="both"/>
              <w:rPr>
                <w:lang w:val="es-MX"/>
              </w:rPr>
            </w:pPr>
          </w:p>
        </w:tc>
      </w:tr>
      <w:tr w:rsidR="00316755" w14:paraId="3BB67C44" w14:textId="77777777" w:rsidTr="004B5062">
        <w:trPr>
          <w:jc w:val="center"/>
        </w:trPr>
        <w:tc>
          <w:tcPr>
            <w:tcW w:w="2547" w:type="dxa"/>
          </w:tcPr>
          <w:p w14:paraId="12210BCD" w14:textId="77777777" w:rsidR="00316755" w:rsidRDefault="00316755" w:rsidP="00E40ECB">
            <w:pPr>
              <w:pStyle w:val="Prrafodelista"/>
              <w:numPr>
                <w:ilvl w:val="0"/>
                <w:numId w:val="2"/>
              </w:numPr>
              <w:spacing w:line="360" w:lineRule="auto"/>
              <w:jc w:val="both"/>
              <w:rPr>
                <w:lang w:val="es-MX"/>
              </w:rPr>
            </w:pPr>
            <w:r w:rsidRPr="00E132C7">
              <w:rPr>
                <w:lang w:val="es-MX"/>
              </w:rPr>
              <w:t>Llamadas telefónicas</w:t>
            </w:r>
          </w:p>
        </w:tc>
        <w:tc>
          <w:tcPr>
            <w:tcW w:w="1205" w:type="dxa"/>
          </w:tcPr>
          <w:p w14:paraId="18CE6721" w14:textId="77777777" w:rsidR="00316755" w:rsidRDefault="00316755" w:rsidP="00E40ECB">
            <w:pPr>
              <w:spacing w:line="360" w:lineRule="auto"/>
              <w:jc w:val="both"/>
              <w:rPr>
                <w:lang w:val="es-MX"/>
              </w:rPr>
            </w:pPr>
            <w:r>
              <w:rPr>
                <w:lang w:val="es-MX"/>
              </w:rPr>
              <w:t>21%</w:t>
            </w:r>
          </w:p>
        </w:tc>
        <w:tc>
          <w:tcPr>
            <w:tcW w:w="1205" w:type="dxa"/>
          </w:tcPr>
          <w:p w14:paraId="4157248C" w14:textId="77777777" w:rsidR="00316755" w:rsidRDefault="00316755" w:rsidP="00E40ECB">
            <w:pPr>
              <w:spacing w:line="360" w:lineRule="auto"/>
              <w:jc w:val="both"/>
              <w:rPr>
                <w:lang w:val="es-MX"/>
              </w:rPr>
            </w:pPr>
          </w:p>
        </w:tc>
        <w:tc>
          <w:tcPr>
            <w:tcW w:w="1134" w:type="dxa"/>
          </w:tcPr>
          <w:p w14:paraId="4721D43E" w14:textId="77777777" w:rsidR="00316755" w:rsidRDefault="00316755" w:rsidP="00E40ECB">
            <w:pPr>
              <w:spacing w:line="360" w:lineRule="auto"/>
              <w:jc w:val="both"/>
              <w:rPr>
                <w:lang w:val="es-MX"/>
              </w:rPr>
            </w:pPr>
            <w:r>
              <w:rPr>
                <w:lang w:val="es-MX"/>
              </w:rPr>
              <w:t>25%</w:t>
            </w:r>
          </w:p>
        </w:tc>
        <w:tc>
          <w:tcPr>
            <w:tcW w:w="1134" w:type="dxa"/>
          </w:tcPr>
          <w:p w14:paraId="77D83001" w14:textId="77777777" w:rsidR="00316755" w:rsidRDefault="00316755" w:rsidP="00E40ECB">
            <w:pPr>
              <w:spacing w:line="360" w:lineRule="auto"/>
              <w:jc w:val="both"/>
              <w:rPr>
                <w:lang w:val="es-MX"/>
              </w:rPr>
            </w:pPr>
          </w:p>
        </w:tc>
      </w:tr>
      <w:tr w:rsidR="00316755" w14:paraId="4D258015" w14:textId="77777777" w:rsidTr="004B5062">
        <w:trPr>
          <w:jc w:val="center"/>
        </w:trPr>
        <w:tc>
          <w:tcPr>
            <w:tcW w:w="2547" w:type="dxa"/>
          </w:tcPr>
          <w:p w14:paraId="62CA17BD" w14:textId="77777777" w:rsidR="00316755" w:rsidRPr="00E132C7" w:rsidRDefault="00316755" w:rsidP="00E40ECB">
            <w:pPr>
              <w:pStyle w:val="Prrafodelista"/>
              <w:numPr>
                <w:ilvl w:val="0"/>
                <w:numId w:val="2"/>
              </w:numPr>
              <w:spacing w:line="360" w:lineRule="auto"/>
              <w:jc w:val="both"/>
              <w:rPr>
                <w:lang w:val="es-MX"/>
              </w:rPr>
            </w:pPr>
            <w:r w:rsidRPr="00E132C7">
              <w:rPr>
                <w:lang w:val="es-MX"/>
              </w:rPr>
              <w:t>Búsqueda de información</w:t>
            </w:r>
          </w:p>
        </w:tc>
        <w:tc>
          <w:tcPr>
            <w:tcW w:w="1205" w:type="dxa"/>
          </w:tcPr>
          <w:p w14:paraId="7DFDA218" w14:textId="77777777" w:rsidR="00316755" w:rsidRDefault="00316755" w:rsidP="00E40ECB">
            <w:pPr>
              <w:spacing w:line="360" w:lineRule="auto"/>
              <w:jc w:val="both"/>
              <w:rPr>
                <w:lang w:val="es-MX"/>
              </w:rPr>
            </w:pPr>
            <w:r>
              <w:rPr>
                <w:lang w:val="es-MX"/>
              </w:rPr>
              <w:t>38%</w:t>
            </w:r>
          </w:p>
        </w:tc>
        <w:tc>
          <w:tcPr>
            <w:tcW w:w="1205" w:type="dxa"/>
          </w:tcPr>
          <w:p w14:paraId="06407D44" w14:textId="77777777" w:rsidR="00316755" w:rsidRDefault="00316755" w:rsidP="00E40ECB">
            <w:pPr>
              <w:spacing w:line="360" w:lineRule="auto"/>
              <w:jc w:val="both"/>
              <w:rPr>
                <w:lang w:val="es-MX"/>
              </w:rPr>
            </w:pPr>
          </w:p>
        </w:tc>
        <w:tc>
          <w:tcPr>
            <w:tcW w:w="1134" w:type="dxa"/>
          </w:tcPr>
          <w:p w14:paraId="731247A2" w14:textId="77777777" w:rsidR="00316755" w:rsidRDefault="00316755" w:rsidP="00E40ECB">
            <w:pPr>
              <w:spacing w:line="360" w:lineRule="auto"/>
              <w:jc w:val="both"/>
              <w:rPr>
                <w:lang w:val="es-MX"/>
              </w:rPr>
            </w:pPr>
            <w:r>
              <w:rPr>
                <w:lang w:val="es-MX"/>
              </w:rPr>
              <w:t>41%</w:t>
            </w:r>
          </w:p>
        </w:tc>
        <w:tc>
          <w:tcPr>
            <w:tcW w:w="1134" w:type="dxa"/>
          </w:tcPr>
          <w:p w14:paraId="1F52F8F5" w14:textId="77777777" w:rsidR="00316755" w:rsidRDefault="00316755" w:rsidP="00E40ECB">
            <w:pPr>
              <w:spacing w:line="360" w:lineRule="auto"/>
              <w:jc w:val="both"/>
              <w:rPr>
                <w:lang w:val="es-MX"/>
              </w:rPr>
            </w:pPr>
          </w:p>
        </w:tc>
      </w:tr>
      <w:tr w:rsidR="00316755" w14:paraId="19CFB178" w14:textId="77777777" w:rsidTr="004B5062">
        <w:trPr>
          <w:jc w:val="center"/>
        </w:trPr>
        <w:tc>
          <w:tcPr>
            <w:tcW w:w="2547" w:type="dxa"/>
          </w:tcPr>
          <w:p w14:paraId="32AF7E7F" w14:textId="77777777" w:rsidR="00316755" w:rsidRDefault="00316755" w:rsidP="00E40ECB">
            <w:pPr>
              <w:pStyle w:val="Prrafodelista"/>
              <w:numPr>
                <w:ilvl w:val="0"/>
                <w:numId w:val="2"/>
              </w:numPr>
              <w:spacing w:line="360" w:lineRule="auto"/>
              <w:jc w:val="both"/>
              <w:rPr>
                <w:lang w:val="es-MX"/>
              </w:rPr>
            </w:pPr>
            <w:r>
              <w:rPr>
                <w:lang w:val="es-MX"/>
              </w:rPr>
              <w:t>Hacer Tarea</w:t>
            </w:r>
          </w:p>
        </w:tc>
        <w:tc>
          <w:tcPr>
            <w:tcW w:w="1205" w:type="dxa"/>
          </w:tcPr>
          <w:p w14:paraId="119491F3" w14:textId="77777777" w:rsidR="00316755" w:rsidRDefault="00316755" w:rsidP="00E40ECB">
            <w:pPr>
              <w:spacing w:line="360" w:lineRule="auto"/>
              <w:jc w:val="both"/>
              <w:rPr>
                <w:lang w:val="es-MX"/>
              </w:rPr>
            </w:pPr>
            <w:r>
              <w:rPr>
                <w:lang w:val="es-MX"/>
              </w:rPr>
              <w:t>25%</w:t>
            </w:r>
          </w:p>
        </w:tc>
        <w:tc>
          <w:tcPr>
            <w:tcW w:w="1205" w:type="dxa"/>
          </w:tcPr>
          <w:p w14:paraId="0BAFD984" w14:textId="77777777" w:rsidR="00316755" w:rsidRDefault="00316755" w:rsidP="00E40ECB">
            <w:pPr>
              <w:spacing w:line="360" w:lineRule="auto"/>
              <w:jc w:val="both"/>
              <w:rPr>
                <w:lang w:val="es-MX"/>
              </w:rPr>
            </w:pPr>
          </w:p>
        </w:tc>
        <w:tc>
          <w:tcPr>
            <w:tcW w:w="1134" w:type="dxa"/>
          </w:tcPr>
          <w:p w14:paraId="7438664E" w14:textId="77777777" w:rsidR="00316755" w:rsidRDefault="00316755" w:rsidP="00E40ECB">
            <w:pPr>
              <w:spacing w:line="360" w:lineRule="auto"/>
              <w:jc w:val="both"/>
              <w:rPr>
                <w:lang w:val="es-MX"/>
              </w:rPr>
            </w:pPr>
            <w:r>
              <w:rPr>
                <w:lang w:val="es-MX"/>
              </w:rPr>
              <w:t>27%</w:t>
            </w:r>
          </w:p>
        </w:tc>
        <w:tc>
          <w:tcPr>
            <w:tcW w:w="1134" w:type="dxa"/>
          </w:tcPr>
          <w:p w14:paraId="32B9B7DF" w14:textId="77777777" w:rsidR="00316755" w:rsidRDefault="00316755" w:rsidP="00E40ECB">
            <w:pPr>
              <w:spacing w:line="360" w:lineRule="auto"/>
              <w:jc w:val="both"/>
              <w:rPr>
                <w:lang w:val="es-MX"/>
              </w:rPr>
            </w:pPr>
          </w:p>
        </w:tc>
      </w:tr>
    </w:tbl>
    <w:p w14:paraId="0A500661" w14:textId="77777777" w:rsidR="00316755" w:rsidRPr="0001546D" w:rsidRDefault="00316755" w:rsidP="004B5062">
      <w:pPr>
        <w:spacing w:line="360" w:lineRule="auto"/>
        <w:jc w:val="center"/>
        <w:rPr>
          <w:lang w:val="es-MX"/>
        </w:rPr>
      </w:pPr>
      <w:r>
        <w:rPr>
          <w:lang w:val="es-MX"/>
        </w:rPr>
        <w:t>Fuente: Elaboración propia</w:t>
      </w:r>
    </w:p>
    <w:p w14:paraId="7D9616C6" w14:textId="3958E4C7" w:rsidR="003D27D6" w:rsidRDefault="00021D67" w:rsidP="0001546D">
      <w:pPr>
        <w:spacing w:line="360" w:lineRule="auto"/>
        <w:jc w:val="both"/>
      </w:pPr>
      <w:r w:rsidRPr="0001546D">
        <w:rPr>
          <w:lang w:val="es-MX"/>
        </w:rPr>
        <w:t>En el diagnóstico realizado a los alumnos se identifica</w:t>
      </w:r>
      <w:r w:rsidR="00C31E65" w:rsidRPr="0001546D">
        <w:rPr>
          <w:lang w:val="es-MX"/>
        </w:rPr>
        <w:t xml:space="preserve"> </w:t>
      </w:r>
      <w:r w:rsidR="00C31E65" w:rsidRPr="0001546D">
        <w:t>es sobre la ejecución correcta o incorrecta de los problemas en general, para observar la diferencia de logro en este aspecto en ambos grupos.</w:t>
      </w:r>
      <w:r w:rsidR="00CA3D42" w:rsidRPr="0001546D">
        <w:t xml:space="preserve">  En ambos grupos se destaca las preguntas sin contestar o problemas sin resolver, siendo un porcentaje importante sobre el total</w:t>
      </w:r>
      <w:r w:rsidR="00917150" w:rsidRPr="0001546D">
        <w:t xml:space="preserve"> (31%)</w:t>
      </w:r>
      <w:r w:rsidR="00CA3D42" w:rsidRPr="0001546D">
        <w:t>, principalmente en las operaciones básicas con fracciones, se intuye que existen problemas para interpretar el lenguaje matemático o bien no saber qué hacer en el algoritmo presentado.</w:t>
      </w:r>
    </w:p>
    <w:p w14:paraId="224D70C6" w14:textId="0FEC248A" w:rsidR="009A616C" w:rsidRDefault="009A616C" w:rsidP="0001546D">
      <w:pPr>
        <w:spacing w:line="360" w:lineRule="auto"/>
        <w:jc w:val="both"/>
      </w:pPr>
    </w:p>
    <w:p w14:paraId="714275FB" w14:textId="1DB512B3" w:rsidR="009A616C" w:rsidRDefault="009A616C" w:rsidP="0001546D">
      <w:pPr>
        <w:spacing w:line="360" w:lineRule="auto"/>
        <w:jc w:val="both"/>
      </w:pPr>
    </w:p>
    <w:p w14:paraId="469B21E3" w14:textId="486FD888" w:rsidR="009A616C" w:rsidRDefault="009A616C" w:rsidP="0001546D">
      <w:pPr>
        <w:spacing w:line="360" w:lineRule="auto"/>
        <w:jc w:val="both"/>
      </w:pPr>
    </w:p>
    <w:p w14:paraId="05D2B5CC" w14:textId="7F950528" w:rsidR="009A616C" w:rsidRDefault="009A616C" w:rsidP="0001546D">
      <w:pPr>
        <w:spacing w:line="360" w:lineRule="auto"/>
        <w:jc w:val="both"/>
      </w:pPr>
    </w:p>
    <w:p w14:paraId="12F3DCA0" w14:textId="30639ACD" w:rsidR="009A616C" w:rsidRDefault="009A616C" w:rsidP="0001546D">
      <w:pPr>
        <w:spacing w:line="360" w:lineRule="auto"/>
        <w:jc w:val="both"/>
      </w:pPr>
    </w:p>
    <w:p w14:paraId="7836788B" w14:textId="5CBB7709" w:rsidR="009A616C" w:rsidRDefault="009A616C" w:rsidP="0001546D">
      <w:pPr>
        <w:spacing w:line="360" w:lineRule="auto"/>
        <w:jc w:val="both"/>
      </w:pPr>
    </w:p>
    <w:p w14:paraId="1ED28EEE" w14:textId="77777777" w:rsidR="009A616C" w:rsidRDefault="009A616C" w:rsidP="0001546D">
      <w:pPr>
        <w:spacing w:line="360" w:lineRule="auto"/>
        <w:jc w:val="both"/>
      </w:pPr>
    </w:p>
    <w:p w14:paraId="0DE4F507" w14:textId="43B4D8F8" w:rsidR="00316755" w:rsidRPr="004B5062" w:rsidRDefault="00316755" w:rsidP="009A616C">
      <w:pPr>
        <w:spacing w:line="360" w:lineRule="auto"/>
        <w:jc w:val="center"/>
        <w:rPr>
          <w:b/>
        </w:rPr>
      </w:pPr>
      <w:r w:rsidRPr="004B5062">
        <w:rPr>
          <w:b/>
        </w:rPr>
        <w:lastRenderedPageBreak/>
        <w:t>Tabla 2</w:t>
      </w:r>
      <w:r w:rsidR="009A616C">
        <w:rPr>
          <w:b/>
        </w:rPr>
        <w:t>.</w:t>
      </w:r>
      <w:r w:rsidR="00505C40" w:rsidRPr="004B5062">
        <w:rPr>
          <w:b/>
        </w:rPr>
        <w:t xml:space="preserve"> </w:t>
      </w:r>
      <w:r w:rsidR="00505C40" w:rsidRPr="009A616C">
        <w:rPr>
          <w:bCs/>
        </w:rPr>
        <w:t xml:space="preserve">Diagnóstico de álgebra básica en </w:t>
      </w:r>
      <w:r w:rsidR="004B5062" w:rsidRPr="009A616C">
        <w:rPr>
          <w:bCs/>
        </w:rPr>
        <w:t>universitarios</w:t>
      </w:r>
    </w:p>
    <w:tbl>
      <w:tblPr>
        <w:tblStyle w:val="Tablaconcuadrcula"/>
        <w:tblW w:w="7307" w:type="dxa"/>
        <w:jc w:val="center"/>
        <w:tblLook w:val="04A0" w:firstRow="1" w:lastRow="0" w:firstColumn="1" w:lastColumn="0" w:noHBand="0" w:noVBand="1"/>
      </w:tblPr>
      <w:tblGrid>
        <w:gridCol w:w="2518"/>
        <w:gridCol w:w="2397"/>
        <w:gridCol w:w="2392"/>
      </w:tblGrid>
      <w:tr w:rsidR="00316755" w14:paraId="50AC0304" w14:textId="77777777" w:rsidTr="004B5062">
        <w:trPr>
          <w:jc w:val="center"/>
        </w:trPr>
        <w:tc>
          <w:tcPr>
            <w:tcW w:w="2518" w:type="dxa"/>
          </w:tcPr>
          <w:p w14:paraId="08E1FCD9" w14:textId="77777777" w:rsidR="00316755" w:rsidRDefault="00316755" w:rsidP="004B5062">
            <w:pPr>
              <w:spacing w:line="360" w:lineRule="auto"/>
              <w:jc w:val="center"/>
              <w:rPr>
                <w:lang w:val="es-MX"/>
              </w:rPr>
            </w:pPr>
          </w:p>
        </w:tc>
        <w:tc>
          <w:tcPr>
            <w:tcW w:w="2397" w:type="dxa"/>
          </w:tcPr>
          <w:p w14:paraId="60ADD29E" w14:textId="77777777" w:rsidR="00316755" w:rsidRDefault="00316755" w:rsidP="004B5062">
            <w:pPr>
              <w:spacing w:line="360" w:lineRule="auto"/>
              <w:jc w:val="center"/>
              <w:rPr>
                <w:lang w:val="es-MX"/>
              </w:rPr>
            </w:pPr>
            <w:r>
              <w:rPr>
                <w:lang w:val="es-MX"/>
              </w:rPr>
              <w:t>Trabajo Social (grupo experimental)</w:t>
            </w:r>
          </w:p>
        </w:tc>
        <w:tc>
          <w:tcPr>
            <w:tcW w:w="2392" w:type="dxa"/>
          </w:tcPr>
          <w:p w14:paraId="0775E3AC" w14:textId="77777777" w:rsidR="00316755" w:rsidRDefault="00316755" w:rsidP="004B5062">
            <w:pPr>
              <w:spacing w:line="360" w:lineRule="auto"/>
              <w:jc w:val="center"/>
              <w:rPr>
                <w:lang w:val="es-MX"/>
              </w:rPr>
            </w:pPr>
            <w:r>
              <w:rPr>
                <w:lang w:val="es-MX"/>
              </w:rPr>
              <w:t>Enfermería (grupo control)</w:t>
            </w:r>
          </w:p>
        </w:tc>
      </w:tr>
      <w:tr w:rsidR="00316755" w14:paraId="5D5AB5A3" w14:textId="77777777" w:rsidTr="004B5062">
        <w:trPr>
          <w:jc w:val="center"/>
        </w:trPr>
        <w:tc>
          <w:tcPr>
            <w:tcW w:w="2518" w:type="dxa"/>
          </w:tcPr>
          <w:p w14:paraId="71FC9FDE" w14:textId="77777777" w:rsidR="00316755" w:rsidRDefault="00316755" w:rsidP="004B5062">
            <w:pPr>
              <w:spacing w:line="360" w:lineRule="auto"/>
              <w:rPr>
                <w:lang w:val="es-MX"/>
              </w:rPr>
            </w:pPr>
            <w:r>
              <w:rPr>
                <w:lang w:val="es-MX"/>
              </w:rPr>
              <w:t>DIAGNÓSTICO ÁLGEBRA BÁSICA</w:t>
            </w:r>
          </w:p>
        </w:tc>
        <w:tc>
          <w:tcPr>
            <w:tcW w:w="2397" w:type="dxa"/>
          </w:tcPr>
          <w:p w14:paraId="038E0BAD" w14:textId="77777777" w:rsidR="00316755" w:rsidRDefault="00316755" w:rsidP="004B5062">
            <w:pPr>
              <w:spacing w:line="360" w:lineRule="auto"/>
              <w:jc w:val="center"/>
              <w:rPr>
                <w:lang w:val="es-MX"/>
              </w:rPr>
            </w:pPr>
          </w:p>
          <w:p w14:paraId="7B62A16B" w14:textId="77777777" w:rsidR="00316755" w:rsidRDefault="00316755" w:rsidP="004B5062">
            <w:pPr>
              <w:spacing w:line="360" w:lineRule="auto"/>
              <w:jc w:val="center"/>
              <w:rPr>
                <w:lang w:val="es-MX"/>
              </w:rPr>
            </w:pPr>
            <w:r>
              <w:rPr>
                <w:lang w:val="es-MX"/>
              </w:rPr>
              <w:t>% aciertos</w:t>
            </w:r>
          </w:p>
        </w:tc>
        <w:tc>
          <w:tcPr>
            <w:tcW w:w="2392" w:type="dxa"/>
          </w:tcPr>
          <w:p w14:paraId="11D78135" w14:textId="77777777" w:rsidR="00316755" w:rsidRDefault="00316755" w:rsidP="004B5062">
            <w:pPr>
              <w:spacing w:line="360" w:lineRule="auto"/>
              <w:jc w:val="center"/>
              <w:rPr>
                <w:lang w:val="es-MX"/>
              </w:rPr>
            </w:pPr>
          </w:p>
          <w:p w14:paraId="13848122" w14:textId="77777777" w:rsidR="00316755" w:rsidRDefault="00316755" w:rsidP="004B5062">
            <w:pPr>
              <w:spacing w:line="360" w:lineRule="auto"/>
              <w:jc w:val="center"/>
              <w:rPr>
                <w:lang w:val="es-MX"/>
              </w:rPr>
            </w:pPr>
            <w:r>
              <w:rPr>
                <w:lang w:val="es-MX"/>
              </w:rPr>
              <w:t>% aciertos</w:t>
            </w:r>
          </w:p>
        </w:tc>
      </w:tr>
      <w:tr w:rsidR="00316755" w14:paraId="23354BE0" w14:textId="77777777" w:rsidTr="004B5062">
        <w:trPr>
          <w:jc w:val="center"/>
        </w:trPr>
        <w:tc>
          <w:tcPr>
            <w:tcW w:w="2518" w:type="dxa"/>
          </w:tcPr>
          <w:p w14:paraId="7BF72892" w14:textId="77777777" w:rsidR="00316755" w:rsidRDefault="00316755" w:rsidP="004B5062">
            <w:pPr>
              <w:spacing w:line="360" w:lineRule="auto"/>
              <w:rPr>
                <w:lang w:val="es-MX"/>
              </w:rPr>
            </w:pPr>
            <w:r>
              <w:rPr>
                <w:lang w:val="es-MX"/>
              </w:rPr>
              <w:t>Suma, resta, multiplicación y división con factores</w:t>
            </w:r>
          </w:p>
        </w:tc>
        <w:tc>
          <w:tcPr>
            <w:tcW w:w="2397" w:type="dxa"/>
          </w:tcPr>
          <w:p w14:paraId="53DC5AA1" w14:textId="77777777" w:rsidR="00316755" w:rsidRDefault="00316755" w:rsidP="004B5062">
            <w:pPr>
              <w:spacing w:line="360" w:lineRule="auto"/>
              <w:jc w:val="center"/>
              <w:rPr>
                <w:lang w:val="es-MX"/>
              </w:rPr>
            </w:pPr>
            <w:r>
              <w:rPr>
                <w:lang w:val="es-MX"/>
              </w:rPr>
              <w:t>67</w:t>
            </w:r>
          </w:p>
        </w:tc>
        <w:tc>
          <w:tcPr>
            <w:tcW w:w="2392" w:type="dxa"/>
          </w:tcPr>
          <w:p w14:paraId="478DBA6A" w14:textId="77777777" w:rsidR="00316755" w:rsidRDefault="00316755" w:rsidP="004B5062">
            <w:pPr>
              <w:spacing w:line="360" w:lineRule="auto"/>
              <w:jc w:val="center"/>
              <w:rPr>
                <w:lang w:val="es-MX"/>
              </w:rPr>
            </w:pPr>
            <w:r>
              <w:rPr>
                <w:lang w:val="es-MX"/>
              </w:rPr>
              <w:t>62</w:t>
            </w:r>
          </w:p>
        </w:tc>
      </w:tr>
      <w:tr w:rsidR="00316755" w14:paraId="4643512E" w14:textId="77777777" w:rsidTr="004B5062">
        <w:trPr>
          <w:jc w:val="center"/>
        </w:trPr>
        <w:tc>
          <w:tcPr>
            <w:tcW w:w="2518" w:type="dxa"/>
          </w:tcPr>
          <w:p w14:paraId="4EACA245" w14:textId="77777777" w:rsidR="00316755" w:rsidRDefault="00316755" w:rsidP="004B5062">
            <w:pPr>
              <w:spacing w:line="360" w:lineRule="auto"/>
              <w:rPr>
                <w:lang w:val="es-MX"/>
              </w:rPr>
            </w:pPr>
            <w:r>
              <w:rPr>
                <w:lang w:val="es-MX"/>
              </w:rPr>
              <w:t>Signos de agrupación</w:t>
            </w:r>
          </w:p>
        </w:tc>
        <w:tc>
          <w:tcPr>
            <w:tcW w:w="2397" w:type="dxa"/>
          </w:tcPr>
          <w:p w14:paraId="4FDA1F5C" w14:textId="77777777" w:rsidR="00316755" w:rsidRDefault="00316755" w:rsidP="004B5062">
            <w:pPr>
              <w:spacing w:line="360" w:lineRule="auto"/>
              <w:jc w:val="center"/>
              <w:rPr>
                <w:lang w:val="es-MX"/>
              </w:rPr>
            </w:pPr>
            <w:r>
              <w:rPr>
                <w:lang w:val="es-MX"/>
              </w:rPr>
              <w:t>44</w:t>
            </w:r>
          </w:p>
        </w:tc>
        <w:tc>
          <w:tcPr>
            <w:tcW w:w="2392" w:type="dxa"/>
          </w:tcPr>
          <w:p w14:paraId="7DF1F4A5" w14:textId="77777777" w:rsidR="00316755" w:rsidRDefault="00316755" w:rsidP="004B5062">
            <w:pPr>
              <w:spacing w:line="360" w:lineRule="auto"/>
              <w:jc w:val="center"/>
              <w:rPr>
                <w:lang w:val="es-MX"/>
              </w:rPr>
            </w:pPr>
            <w:r>
              <w:rPr>
                <w:lang w:val="es-MX"/>
              </w:rPr>
              <w:t>39</w:t>
            </w:r>
          </w:p>
        </w:tc>
      </w:tr>
      <w:tr w:rsidR="00316755" w14:paraId="733C2379" w14:textId="77777777" w:rsidTr="004B5062">
        <w:trPr>
          <w:jc w:val="center"/>
        </w:trPr>
        <w:tc>
          <w:tcPr>
            <w:tcW w:w="2518" w:type="dxa"/>
          </w:tcPr>
          <w:p w14:paraId="1F8E39A4" w14:textId="77777777" w:rsidR="00316755" w:rsidRDefault="00316755" w:rsidP="004B5062">
            <w:pPr>
              <w:spacing w:line="360" w:lineRule="auto"/>
              <w:rPr>
                <w:lang w:val="es-MX"/>
              </w:rPr>
            </w:pPr>
            <w:r>
              <w:rPr>
                <w:lang w:val="es-MX"/>
              </w:rPr>
              <w:t>Operaciones básicas con fracciones</w:t>
            </w:r>
          </w:p>
        </w:tc>
        <w:tc>
          <w:tcPr>
            <w:tcW w:w="2397" w:type="dxa"/>
          </w:tcPr>
          <w:p w14:paraId="2E45F995" w14:textId="77777777" w:rsidR="00316755" w:rsidRDefault="00316755" w:rsidP="004B5062">
            <w:pPr>
              <w:spacing w:line="360" w:lineRule="auto"/>
              <w:jc w:val="center"/>
              <w:rPr>
                <w:lang w:val="es-MX"/>
              </w:rPr>
            </w:pPr>
            <w:r>
              <w:rPr>
                <w:lang w:val="es-MX"/>
              </w:rPr>
              <w:t>41</w:t>
            </w:r>
          </w:p>
        </w:tc>
        <w:tc>
          <w:tcPr>
            <w:tcW w:w="2392" w:type="dxa"/>
          </w:tcPr>
          <w:p w14:paraId="4D849B06" w14:textId="77777777" w:rsidR="00316755" w:rsidRDefault="00316755" w:rsidP="004B5062">
            <w:pPr>
              <w:spacing w:line="360" w:lineRule="auto"/>
              <w:jc w:val="center"/>
              <w:rPr>
                <w:lang w:val="es-MX"/>
              </w:rPr>
            </w:pPr>
            <w:r>
              <w:rPr>
                <w:lang w:val="es-MX"/>
              </w:rPr>
              <w:t>45</w:t>
            </w:r>
          </w:p>
        </w:tc>
      </w:tr>
    </w:tbl>
    <w:p w14:paraId="4FE5F9FB" w14:textId="09A635D4" w:rsidR="0001546D" w:rsidRPr="0001546D" w:rsidRDefault="00316755" w:rsidP="004B5062">
      <w:pPr>
        <w:spacing w:line="360" w:lineRule="auto"/>
        <w:jc w:val="center"/>
        <w:rPr>
          <w:lang w:val="es-MX"/>
        </w:rPr>
      </w:pPr>
      <w:r>
        <w:rPr>
          <w:lang w:val="es-MX"/>
        </w:rPr>
        <w:t>Fuente: Elaboración propia</w:t>
      </w:r>
    </w:p>
    <w:p w14:paraId="652EEFD1" w14:textId="088BA375" w:rsidR="003D27D6" w:rsidRPr="0001546D" w:rsidRDefault="00E132C7" w:rsidP="0001546D">
      <w:pPr>
        <w:pStyle w:val="Default"/>
        <w:spacing w:line="360" w:lineRule="auto"/>
        <w:jc w:val="both"/>
        <w:rPr>
          <w:rFonts w:ascii="Times New Roman" w:hAnsi="Times New Roman" w:cs="Times New Roman"/>
          <w:color w:val="auto"/>
        </w:rPr>
      </w:pPr>
      <w:r w:rsidRPr="0001546D">
        <w:rPr>
          <w:rFonts w:ascii="Times New Roman" w:hAnsi="Times New Roman" w:cs="Times New Roman"/>
          <w:color w:val="auto"/>
        </w:rPr>
        <w:t>El diagnóstico de conocimientos de matemáticas fue elaborado por los profesores que conforman la academia de matemáticas del Departamento de Exactas, Metodologías y Tecnologías, y es utilizado al inicio de cada semestre como diagnóstico entre los alumnos de los diferentes programas educativo del Centro Universitario del sur y cuenta con</w:t>
      </w:r>
      <w:r w:rsidR="00DE3D13" w:rsidRPr="0001546D">
        <w:rPr>
          <w:rFonts w:ascii="Times New Roman" w:hAnsi="Times New Roman" w:cs="Times New Roman"/>
          <w:color w:val="auto"/>
        </w:rPr>
        <w:t xml:space="preserve"> </w:t>
      </w:r>
      <w:r w:rsidRPr="0001546D">
        <w:rPr>
          <w:rFonts w:ascii="Times New Roman" w:hAnsi="Times New Roman" w:cs="Times New Roman"/>
          <w:color w:val="auto"/>
        </w:rPr>
        <w:t>preguntas sobre temas relacionados con los números y operaciones (valor posicional, fracciones</w:t>
      </w:r>
      <w:r w:rsidR="00DE3D13" w:rsidRPr="0001546D">
        <w:rPr>
          <w:rFonts w:ascii="Times New Roman" w:hAnsi="Times New Roman" w:cs="Times New Roman"/>
          <w:color w:val="auto"/>
        </w:rPr>
        <w:t>),</w:t>
      </w:r>
      <w:r w:rsidRPr="0001546D">
        <w:rPr>
          <w:rFonts w:ascii="Times New Roman" w:hAnsi="Times New Roman" w:cs="Times New Roman"/>
          <w:color w:val="auto"/>
        </w:rPr>
        <w:t xml:space="preserve"> resolución de problemas con números naturales y decimales</w:t>
      </w:r>
      <w:r w:rsidR="00DE3D13" w:rsidRPr="0001546D">
        <w:rPr>
          <w:rFonts w:ascii="Times New Roman" w:hAnsi="Times New Roman" w:cs="Times New Roman"/>
          <w:color w:val="auto"/>
        </w:rPr>
        <w:t xml:space="preserve">, problemas utilizando operaciones con suma, resta, multiplicación y división, así como un diagnóstico </w:t>
      </w:r>
      <w:r w:rsidRPr="0001546D">
        <w:rPr>
          <w:rFonts w:ascii="Times New Roman" w:hAnsi="Times New Roman" w:cs="Times New Roman"/>
          <w:color w:val="auto"/>
        </w:rPr>
        <w:t xml:space="preserve"> estadística y probabilidades (noción de probabilidades y medidas de posición). </w:t>
      </w:r>
    </w:p>
    <w:p w14:paraId="700A79CC" w14:textId="18F4C4E2" w:rsidR="00107EA4" w:rsidRDefault="00107EA4" w:rsidP="0001546D">
      <w:pPr>
        <w:pStyle w:val="Default"/>
        <w:spacing w:line="360" w:lineRule="auto"/>
        <w:jc w:val="both"/>
        <w:rPr>
          <w:rFonts w:ascii="Times New Roman" w:hAnsi="Times New Roman" w:cs="Times New Roman"/>
          <w:color w:val="auto"/>
        </w:rPr>
      </w:pPr>
      <w:r w:rsidRPr="0001546D">
        <w:rPr>
          <w:rFonts w:ascii="Times New Roman" w:hAnsi="Times New Roman" w:cs="Times New Roman"/>
          <w:color w:val="auto"/>
        </w:rPr>
        <w:t xml:space="preserve">En una sesión de dos horas el grupo experimental al utilizar la </w:t>
      </w:r>
      <w:r w:rsidR="00232AFB" w:rsidRPr="0001546D">
        <w:rPr>
          <w:rFonts w:ascii="Times New Roman" w:hAnsi="Times New Roman" w:cs="Times New Roman"/>
          <w:color w:val="auto"/>
        </w:rPr>
        <w:t>CEP</w:t>
      </w:r>
      <w:r w:rsidRPr="0001546D">
        <w:rPr>
          <w:rFonts w:ascii="Times New Roman" w:hAnsi="Times New Roman" w:cs="Times New Roman"/>
          <w:color w:val="auto"/>
        </w:rPr>
        <w:t xml:space="preserve"> pudieron obtener prácticamente los resultados de la desviación estándar en la totalid</w:t>
      </w:r>
      <w:r w:rsidR="00A05302" w:rsidRPr="0001546D">
        <w:rPr>
          <w:rFonts w:ascii="Times New Roman" w:hAnsi="Times New Roman" w:cs="Times New Roman"/>
          <w:color w:val="auto"/>
        </w:rPr>
        <w:t>ad, mientras que el grupo control</w:t>
      </w:r>
      <w:r w:rsidRPr="0001546D">
        <w:rPr>
          <w:rFonts w:ascii="Times New Roman" w:hAnsi="Times New Roman" w:cs="Times New Roman"/>
          <w:color w:val="auto"/>
        </w:rPr>
        <w:t xml:space="preserve"> obtuvieron el 26 % de los estudiantes.</w:t>
      </w:r>
    </w:p>
    <w:p w14:paraId="3D1DF32E" w14:textId="77777777" w:rsidR="009A616C" w:rsidRDefault="009A616C" w:rsidP="004B5062">
      <w:pPr>
        <w:pStyle w:val="Default"/>
        <w:jc w:val="both"/>
        <w:rPr>
          <w:rFonts w:ascii="Times New Roman" w:hAnsi="Times New Roman" w:cs="Times New Roman"/>
          <w:b/>
          <w:color w:val="auto"/>
        </w:rPr>
      </w:pPr>
    </w:p>
    <w:p w14:paraId="41E34CA2" w14:textId="77777777" w:rsidR="009A616C" w:rsidRDefault="009A616C" w:rsidP="004B5062">
      <w:pPr>
        <w:pStyle w:val="Default"/>
        <w:jc w:val="both"/>
        <w:rPr>
          <w:rFonts w:ascii="Times New Roman" w:hAnsi="Times New Roman" w:cs="Times New Roman"/>
          <w:b/>
          <w:color w:val="auto"/>
        </w:rPr>
      </w:pPr>
    </w:p>
    <w:p w14:paraId="37F6CF7C" w14:textId="77777777" w:rsidR="009A616C" w:rsidRDefault="009A616C" w:rsidP="004B5062">
      <w:pPr>
        <w:pStyle w:val="Default"/>
        <w:jc w:val="both"/>
        <w:rPr>
          <w:rFonts w:ascii="Times New Roman" w:hAnsi="Times New Roman" w:cs="Times New Roman"/>
          <w:b/>
          <w:color w:val="auto"/>
        </w:rPr>
      </w:pPr>
    </w:p>
    <w:p w14:paraId="35F15103" w14:textId="77777777" w:rsidR="009A616C" w:rsidRDefault="009A616C" w:rsidP="004B5062">
      <w:pPr>
        <w:pStyle w:val="Default"/>
        <w:jc w:val="both"/>
        <w:rPr>
          <w:rFonts w:ascii="Times New Roman" w:hAnsi="Times New Roman" w:cs="Times New Roman"/>
          <w:b/>
          <w:color w:val="auto"/>
        </w:rPr>
      </w:pPr>
    </w:p>
    <w:p w14:paraId="59705E32" w14:textId="77777777" w:rsidR="009A616C" w:rsidRDefault="009A616C" w:rsidP="004B5062">
      <w:pPr>
        <w:pStyle w:val="Default"/>
        <w:jc w:val="both"/>
        <w:rPr>
          <w:rFonts w:ascii="Times New Roman" w:hAnsi="Times New Roman" w:cs="Times New Roman"/>
          <w:b/>
          <w:color w:val="auto"/>
        </w:rPr>
      </w:pPr>
    </w:p>
    <w:p w14:paraId="463228C5" w14:textId="77777777" w:rsidR="009A616C" w:rsidRDefault="009A616C" w:rsidP="004B5062">
      <w:pPr>
        <w:pStyle w:val="Default"/>
        <w:jc w:val="both"/>
        <w:rPr>
          <w:rFonts w:ascii="Times New Roman" w:hAnsi="Times New Roman" w:cs="Times New Roman"/>
          <w:b/>
          <w:color w:val="auto"/>
        </w:rPr>
      </w:pPr>
    </w:p>
    <w:p w14:paraId="3FF778CA" w14:textId="77777777" w:rsidR="009A616C" w:rsidRDefault="009A616C" w:rsidP="004B5062">
      <w:pPr>
        <w:pStyle w:val="Default"/>
        <w:jc w:val="both"/>
        <w:rPr>
          <w:rFonts w:ascii="Times New Roman" w:hAnsi="Times New Roman" w:cs="Times New Roman"/>
          <w:b/>
          <w:color w:val="auto"/>
        </w:rPr>
      </w:pPr>
    </w:p>
    <w:p w14:paraId="56B1A6B2" w14:textId="77777777" w:rsidR="009A616C" w:rsidRDefault="009A616C" w:rsidP="004B5062">
      <w:pPr>
        <w:pStyle w:val="Default"/>
        <w:jc w:val="both"/>
        <w:rPr>
          <w:rFonts w:ascii="Times New Roman" w:hAnsi="Times New Roman" w:cs="Times New Roman"/>
          <w:b/>
          <w:color w:val="auto"/>
        </w:rPr>
      </w:pPr>
    </w:p>
    <w:p w14:paraId="6A29C1DE" w14:textId="77777777" w:rsidR="009A616C" w:rsidRDefault="009A616C" w:rsidP="004B5062">
      <w:pPr>
        <w:pStyle w:val="Default"/>
        <w:jc w:val="both"/>
        <w:rPr>
          <w:rFonts w:ascii="Times New Roman" w:hAnsi="Times New Roman" w:cs="Times New Roman"/>
          <w:b/>
          <w:color w:val="auto"/>
        </w:rPr>
      </w:pPr>
    </w:p>
    <w:p w14:paraId="05290794" w14:textId="77777777" w:rsidR="009A616C" w:rsidRDefault="009A616C" w:rsidP="004B5062">
      <w:pPr>
        <w:pStyle w:val="Default"/>
        <w:jc w:val="both"/>
        <w:rPr>
          <w:rFonts w:ascii="Times New Roman" w:hAnsi="Times New Roman" w:cs="Times New Roman"/>
          <w:b/>
          <w:color w:val="auto"/>
        </w:rPr>
      </w:pPr>
    </w:p>
    <w:p w14:paraId="36B13F5E" w14:textId="77777777" w:rsidR="009A616C" w:rsidRDefault="009A616C" w:rsidP="004B5062">
      <w:pPr>
        <w:pStyle w:val="Default"/>
        <w:jc w:val="both"/>
        <w:rPr>
          <w:rFonts w:ascii="Times New Roman" w:hAnsi="Times New Roman" w:cs="Times New Roman"/>
          <w:b/>
          <w:color w:val="auto"/>
        </w:rPr>
      </w:pPr>
    </w:p>
    <w:p w14:paraId="3D79EFBE" w14:textId="77777777" w:rsidR="009A616C" w:rsidRDefault="009A616C" w:rsidP="004B5062">
      <w:pPr>
        <w:pStyle w:val="Default"/>
        <w:jc w:val="both"/>
        <w:rPr>
          <w:rFonts w:ascii="Times New Roman" w:hAnsi="Times New Roman" w:cs="Times New Roman"/>
          <w:b/>
          <w:color w:val="auto"/>
        </w:rPr>
      </w:pPr>
    </w:p>
    <w:p w14:paraId="3697E071" w14:textId="77777777" w:rsidR="009A616C" w:rsidRDefault="009A616C" w:rsidP="004B5062">
      <w:pPr>
        <w:pStyle w:val="Default"/>
        <w:jc w:val="both"/>
        <w:rPr>
          <w:rFonts w:ascii="Times New Roman" w:hAnsi="Times New Roman" w:cs="Times New Roman"/>
          <w:b/>
          <w:color w:val="auto"/>
        </w:rPr>
      </w:pPr>
    </w:p>
    <w:p w14:paraId="7BC5E1B9" w14:textId="77777777" w:rsidR="009A616C" w:rsidRDefault="009A616C" w:rsidP="004B5062">
      <w:pPr>
        <w:pStyle w:val="Default"/>
        <w:jc w:val="both"/>
        <w:rPr>
          <w:rFonts w:ascii="Times New Roman" w:hAnsi="Times New Roman" w:cs="Times New Roman"/>
          <w:b/>
          <w:color w:val="auto"/>
        </w:rPr>
      </w:pPr>
    </w:p>
    <w:p w14:paraId="2A5F5A4E" w14:textId="77777777" w:rsidR="009A616C" w:rsidRDefault="009A616C" w:rsidP="004B5062">
      <w:pPr>
        <w:pStyle w:val="Default"/>
        <w:jc w:val="both"/>
        <w:rPr>
          <w:rFonts w:ascii="Times New Roman" w:hAnsi="Times New Roman" w:cs="Times New Roman"/>
          <w:b/>
          <w:color w:val="auto"/>
        </w:rPr>
      </w:pPr>
    </w:p>
    <w:p w14:paraId="0131C3C8" w14:textId="654578FD" w:rsidR="00316755" w:rsidRPr="004B5062" w:rsidRDefault="00316755" w:rsidP="009A616C">
      <w:pPr>
        <w:pStyle w:val="Default"/>
        <w:jc w:val="center"/>
        <w:rPr>
          <w:rFonts w:ascii="Times New Roman" w:hAnsi="Times New Roman" w:cs="Times New Roman"/>
          <w:b/>
          <w:color w:val="auto"/>
        </w:rPr>
      </w:pPr>
      <w:r w:rsidRPr="004B5062">
        <w:rPr>
          <w:rFonts w:ascii="Times New Roman" w:hAnsi="Times New Roman" w:cs="Times New Roman"/>
          <w:b/>
          <w:color w:val="auto"/>
        </w:rPr>
        <w:lastRenderedPageBreak/>
        <w:t>Figura 1</w:t>
      </w:r>
      <w:r w:rsidR="009A616C">
        <w:rPr>
          <w:rFonts w:ascii="Times New Roman" w:hAnsi="Times New Roman" w:cs="Times New Roman"/>
          <w:b/>
          <w:color w:val="auto"/>
        </w:rPr>
        <w:t>.</w:t>
      </w:r>
      <w:r w:rsidR="00505C40" w:rsidRPr="004B5062">
        <w:rPr>
          <w:rFonts w:ascii="Times New Roman" w:hAnsi="Times New Roman" w:cs="Times New Roman"/>
          <w:b/>
          <w:color w:val="auto"/>
        </w:rPr>
        <w:t xml:space="preserve"> </w:t>
      </w:r>
      <w:r w:rsidR="00505C40" w:rsidRPr="009A616C">
        <w:rPr>
          <w:rFonts w:ascii="Times New Roman" w:hAnsi="Times New Roman" w:cs="Times New Roman"/>
          <w:bCs/>
          <w:color w:val="auto"/>
        </w:rPr>
        <w:t>Resolución de la desviación estándar</w:t>
      </w:r>
    </w:p>
    <w:p w14:paraId="3D54684A" w14:textId="5789A3E4" w:rsidR="003D27D6" w:rsidRDefault="004B5062" w:rsidP="004B5062">
      <w:pPr>
        <w:spacing w:line="360" w:lineRule="auto"/>
        <w:jc w:val="center"/>
        <w:rPr>
          <w:lang w:val="es-MX"/>
        </w:rPr>
      </w:pPr>
      <w:r>
        <w:rPr>
          <w:noProof/>
          <w:lang w:val="es-MX" w:eastAsia="es-MX"/>
        </w:rPr>
        <w:drawing>
          <wp:inline distT="0" distB="0" distL="0" distR="0" wp14:anchorId="566145A2" wp14:editId="6CB92F97">
            <wp:extent cx="4191000" cy="2571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2571750"/>
                    </a:xfrm>
                    <a:prstGeom prst="rect">
                      <a:avLst/>
                    </a:prstGeom>
                  </pic:spPr>
                </pic:pic>
              </a:graphicData>
            </a:graphic>
          </wp:inline>
        </w:drawing>
      </w:r>
    </w:p>
    <w:p w14:paraId="6D3EB00D" w14:textId="77777777" w:rsidR="00316755" w:rsidRPr="0001546D" w:rsidRDefault="00316755" w:rsidP="004B5062">
      <w:pPr>
        <w:spacing w:line="360" w:lineRule="auto"/>
        <w:jc w:val="center"/>
        <w:rPr>
          <w:lang w:val="es-MX"/>
        </w:rPr>
      </w:pPr>
      <w:r>
        <w:rPr>
          <w:lang w:val="es-MX"/>
        </w:rPr>
        <w:t>Fuente: Elaboración propia</w:t>
      </w:r>
    </w:p>
    <w:p w14:paraId="4E714549" w14:textId="64F59267" w:rsidR="00A5131D" w:rsidRPr="0001546D" w:rsidRDefault="00904369" w:rsidP="0001546D">
      <w:pPr>
        <w:spacing w:line="360" w:lineRule="auto"/>
        <w:jc w:val="both"/>
        <w:rPr>
          <w:lang w:val="es-MX"/>
        </w:rPr>
      </w:pPr>
      <w:r w:rsidRPr="0001546D">
        <w:rPr>
          <w:lang w:val="es-MX"/>
        </w:rPr>
        <w:t>Inicialmente se p</w:t>
      </w:r>
      <w:r w:rsidR="00A5131D" w:rsidRPr="0001546D">
        <w:rPr>
          <w:lang w:val="es-MX"/>
        </w:rPr>
        <w:t>resentaron dificultades en la lectura de las cifras o bien en el orden de prioridades entre las operaciones</w:t>
      </w:r>
    </w:p>
    <w:p w14:paraId="3708CF4B" w14:textId="758FAAC2" w:rsidR="00D613F4" w:rsidRPr="0001546D" w:rsidRDefault="00D613F4" w:rsidP="0001546D">
      <w:pPr>
        <w:spacing w:line="360" w:lineRule="auto"/>
        <w:jc w:val="both"/>
        <w:rPr>
          <w:lang w:val="es-MX"/>
        </w:rPr>
      </w:pPr>
    </w:p>
    <w:p w14:paraId="2396CC70" w14:textId="3D5F50C5" w:rsidR="00A67AC1" w:rsidRPr="009A616C" w:rsidRDefault="00A67AC1" w:rsidP="0001546D">
      <w:pPr>
        <w:spacing w:line="360" w:lineRule="auto"/>
        <w:jc w:val="center"/>
        <w:rPr>
          <w:b/>
          <w:sz w:val="32"/>
          <w:szCs w:val="28"/>
          <w:lang w:val="es-MX"/>
        </w:rPr>
      </w:pPr>
      <w:r w:rsidRPr="009A616C">
        <w:rPr>
          <w:b/>
          <w:sz w:val="32"/>
          <w:szCs w:val="28"/>
          <w:lang w:val="es-MX"/>
        </w:rPr>
        <w:t>Discusión</w:t>
      </w:r>
    </w:p>
    <w:p w14:paraId="0CAA74F4" w14:textId="38F28A0A" w:rsidR="00A67AC1" w:rsidRPr="0001546D" w:rsidRDefault="00A67AC1" w:rsidP="0001546D">
      <w:pPr>
        <w:spacing w:line="360" w:lineRule="auto"/>
        <w:jc w:val="both"/>
        <w:rPr>
          <w:lang w:val="es-MX"/>
        </w:rPr>
      </w:pPr>
      <w:r w:rsidRPr="0001546D">
        <w:rPr>
          <w:lang w:val="es-MX"/>
        </w:rPr>
        <w:t>En</w:t>
      </w:r>
      <w:r w:rsidR="00BA1C90" w:rsidRPr="0001546D">
        <w:rPr>
          <w:lang w:val="es-MX"/>
        </w:rPr>
        <w:t xml:space="preserve"> el estudio de Morales (2009</w:t>
      </w:r>
      <w:r w:rsidRPr="0001546D">
        <w:rPr>
          <w:lang w:val="es-MX"/>
        </w:rPr>
        <w:t>) expone la existencia de una “insuficiencia articulación entre los contenidos previos a la universidad y los que se imparten en la actualidad en los</w:t>
      </w:r>
      <w:r w:rsidR="00232AFB" w:rsidRPr="0001546D">
        <w:rPr>
          <w:lang w:val="es-MX"/>
        </w:rPr>
        <w:t xml:space="preserve"> </w:t>
      </w:r>
      <w:r w:rsidRPr="0001546D">
        <w:rPr>
          <w:lang w:val="es-MX"/>
        </w:rPr>
        <w:t>curso</w:t>
      </w:r>
      <w:r w:rsidR="00232AFB" w:rsidRPr="0001546D">
        <w:rPr>
          <w:lang w:val="es-MX"/>
        </w:rPr>
        <w:t>s de Matemática I”,</w:t>
      </w:r>
      <w:r w:rsidRPr="0001546D">
        <w:rPr>
          <w:lang w:val="es-MX"/>
        </w:rPr>
        <w:t xml:space="preserve"> resultado similar entre los estudiantes de los dos programas educativos involucrados en este estudio, puesto que en el diagnóstico presentan un bajo dominio de conocimientos y </w:t>
      </w:r>
      <w:r w:rsidR="00232AFB" w:rsidRPr="0001546D">
        <w:rPr>
          <w:lang w:val="es-MX"/>
        </w:rPr>
        <w:t>procedimientos</w:t>
      </w:r>
      <w:r w:rsidRPr="0001546D">
        <w:rPr>
          <w:lang w:val="es-MX"/>
        </w:rPr>
        <w:t xml:space="preserve"> de algebra básica necesaria para el desarrollo del curso de estadística y probabilidad</w:t>
      </w:r>
      <w:r w:rsidR="009D24B0" w:rsidRPr="0001546D">
        <w:rPr>
          <w:lang w:val="es-MX"/>
        </w:rPr>
        <w:t>.</w:t>
      </w:r>
    </w:p>
    <w:p w14:paraId="226D5965" w14:textId="18C4A8C7" w:rsidR="00A67AC1" w:rsidRPr="0001546D" w:rsidRDefault="00C27918" w:rsidP="0001546D">
      <w:pPr>
        <w:pStyle w:val="Default"/>
        <w:spacing w:line="360" w:lineRule="auto"/>
        <w:jc w:val="both"/>
        <w:rPr>
          <w:rFonts w:ascii="Times New Roman" w:hAnsi="Times New Roman" w:cs="Times New Roman"/>
          <w:bCs/>
        </w:rPr>
      </w:pPr>
      <w:r w:rsidRPr="0001546D">
        <w:rPr>
          <w:rFonts w:ascii="Times New Roman" w:hAnsi="Times New Roman" w:cs="Times New Roman"/>
        </w:rPr>
        <w:t xml:space="preserve">La utilización del dato estadístico para resolver problemas o bien para tomar decisiones deben de ser temas de abordaje en la estadística educativa o matemática educativa, pero al igual que </w:t>
      </w:r>
      <w:r w:rsidRPr="0001546D">
        <w:rPr>
          <w:rFonts w:ascii="Times New Roman" w:hAnsi="Times New Roman" w:cs="Times New Roman"/>
          <w:bCs/>
        </w:rPr>
        <w:t>Rivero y Suarez (</w:t>
      </w:r>
      <w:r w:rsidR="002265CD" w:rsidRPr="0001546D">
        <w:rPr>
          <w:rFonts w:ascii="Times New Roman" w:hAnsi="Times New Roman" w:cs="Times New Roman"/>
          <w:bCs/>
        </w:rPr>
        <w:t>2017) la variable del tiempo, ya sea dedicado para la resolución de problemas o bien para el análisis de las soluciones es un factor que influye en la obtención de resultados</w:t>
      </w:r>
      <w:r w:rsidR="00162C01" w:rsidRPr="0001546D">
        <w:rPr>
          <w:rFonts w:ascii="Times New Roman" w:hAnsi="Times New Roman" w:cs="Times New Roman"/>
          <w:bCs/>
        </w:rPr>
        <w:t>.</w:t>
      </w:r>
    </w:p>
    <w:p w14:paraId="445ACA8E" w14:textId="1CCC8A94" w:rsidR="00A67AC1" w:rsidRPr="0001546D" w:rsidRDefault="00162C01" w:rsidP="0001546D">
      <w:pPr>
        <w:spacing w:line="360" w:lineRule="auto"/>
        <w:jc w:val="both"/>
        <w:rPr>
          <w:lang w:val="es-MX"/>
        </w:rPr>
      </w:pPr>
      <w:r w:rsidRPr="0001546D">
        <w:rPr>
          <w:lang w:val="es-MX"/>
        </w:rPr>
        <w:t xml:space="preserve">Al </w:t>
      </w:r>
      <w:r w:rsidR="00FE61C8" w:rsidRPr="0001546D">
        <w:rPr>
          <w:lang w:val="es-MX"/>
        </w:rPr>
        <w:t xml:space="preserve">igual que </w:t>
      </w:r>
      <w:r w:rsidR="00E45365" w:rsidRPr="0001546D">
        <w:t xml:space="preserve">Hernanz y </w:t>
      </w:r>
      <w:proofErr w:type="spellStart"/>
      <w:r w:rsidR="00E45365" w:rsidRPr="0001546D">
        <w:t>Watty</w:t>
      </w:r>
      <w:proofErr w:type="spellEnd"/>
      <w:r w:rsidR="00E45365" w:rsidRPr="0001546D">
        <w:t xml:space="preserve"> (2015) </w:t>
      </w:r>
      <w:r w:rsidR="005200BD" w:rsidRPr="0001546D">
        <w:rPr>
          <w:lang w:val="es-MX"/>
        </w:rPr>
        <w:t xml:space="preserve">en la conclusión de un diplomado con docentes en </w:t>
      </w:r>
      <w:r w:rsidRPr="0001546D">
        <w:rPr>
          <w:lang w:val="es-MX"/>
        </w:rPr>
        <w:t xml:space="preserve"> la modalidad de m-</w:t>
      </w:r>
      <w:proofErr w:type="spellStart"/>
      <w:r w:rsidRPr="0001546D">
        <w:rPr>
          <w:lang w:val="es-MX"/>
        </w:rPr>
        <w:t>learning</w:t>
      </w:r>
      <w:proofErr w:type="spellEnd"/>
      <w:r w:rsidR="005200BD" w:rsidRPr="0001546D">
        <w:rPr>
          <w:lang w:val="es-MX"/>
        </w:rPr>
        <w:t>,</w:t>
      </w:r>
      <w:r w:rsidRPr="0001546D">
        <w:rPr>
          <w:lang w:val="es-MX"/>
        </w:rPr>
        <w:t xml:space="preserve"> está posibilitando el logro de los propósitos o parte de los propósitos, pues en este estudio los alumnos alcanzaron a obtener el dato deseado y analizar la toma de decisiones utilizando el dato.  Situación que fue facilitada por la </w:t>
      </w:r>
      <w:r w:rsidR="00232AFB" w:rsidRPr="0001546D">
        <w:rPr>
          <w:lang w:val="es-MX"/>
        </w:rPr>
        <w:t>CEP</w:t>
      </w:r>
      <w:r w:rsidRPr="0001546D">
        <w:rPr>
          <w:lang w:val="es-MX"/>
        </w:rPr>
        <w:t xml:space="preserve"> al ahorrar tiempo para la obtención del dato de la desviación estándar y poder analizar la toma de decisiones.</w:t>
      </w:r>
    </w:p>
    <w:p w14:paraId="6721F9E5" w14:textId="769E922B" w:rsidR="00A67AC1" w:rsidRPr="009A616C" w:rsidRDefault="00A67AC1" w:rsidP="0001546D">
      <w:pPr>
        <w:spacing w:line="360" w:lineRule="auto"/>
        <w:jc w:val="center"/>
        <w:rPr>
          <w:b/>
          <w:sz w:val="32"/>
          <w:szCs w:val="28"/>
          <w:lang w:val="es-MX"/>
        </w:rPr>
      </w:pPr>
      <w:r w:rsidRPr="009A616C">
        <w:rPr>
          <w:b/>
          <w:sz w:val="32"/>
          <w:szCs w:val="28"/>
          <w:lang w:val="es-MX"/>
        </w:rPr>
        <w:lastRenderedPageBreak/>
        <w:t>Conclusiones</w:t>
      </w:r>
    </w:p>
    <w:p w14:paraId="63355526" w14:textId="704918C9" w:rsidR="009D24B0" w:rsidRPr="0001546D" w:rsidRDefault="009D24B0" w:rsidP="0001546D">
      <w:pPr>
        <w:spacing w:line="360" w:lineRule="auto"/>
        <w:jc w:val="both"/>
        <w:rPr>
          <w:lang w:val="es-MX"/>
        </w:rPr>
      </w:pPr>
      <w:r w:rsidRPr="0001546D">
        <w:rPr>
          <w:lang w:val="es-MX"/>
        </w:rPr>
        <w:t xml:space="preserve">Los alumnos presentan </w:t>
      </w:r>
      <w:r w:rsidR="00107EA4" w:rsidRPr="0001546D">
        <w:rPr>
          <w:lang w:val="es-MX"/>
        </w:rPr>
        <w:t>aceptación sobre el uso de su teléfono celular involucrado en la estrategia de aprendizaje, presentando facilidades para la descarga de la aplicación y rápida interacción con la interfaz de la aplicación y la intuición sobre su uso.</w:t>
      </w:r>
    </w:p>
    <w:p w14:paraId="3B5FBC9E" w14:textId="20B52D32" w:rsidR="00A36DD9" w:rsidRPr="0001546D" w:rsidRDefault="00107EA4" w:rsidP="0001546D">
      <w:pPr>
        <w:spacing w:line="360" w:lineRule="auto"/>
        <w:jc w:val="both"/>
        <w:rPr>
          <w:lang w:val="es-MX"/>
        </w:rPr>
      </w:pPr>
      <w:r w:rsidRPr="0001546D">
        <w:rPr>
          <w:lang w:val="es-MX"/>
        </w:rPr>
        <w:t xml:space="preserve">El grupo experimental mostró motivación en el tema de la desviación estándar, mientras que el grupo control al presentar dificultades para el desarrollo del </w:t>
      </w:r>
      <w:r w:rsidR="00232AFB" w:rsidRPr="0001546D">
        <w:rPr>
          <w:lang w:val="es-MX"/>
        </w:rPr>
        <w:t>procedimiento</w:t>
      </w:r>
      <w:r w:rsidRPr="0001546D">
        <w:rPr>
          <w:lang w:val="es-MX"/>
        </w:rPr>
        <w:t>, se fue perdiendo el interés por los resultados</w:t>
      </w:r>
    </w:p>
    <w:p w14:paraId="52E2AF80" w14:textId="22B4EA19" w:rsidR="00A36DD9" w:rsidRPr="0001546D" w:rsidRDefault="00A67AC1" w:rsidP="0001546D">
      <w:pPr>
        <w:spacing w:line="360" w:lineRule="auto"/>
        <w:jc w:val="both"/>
        <w:rPr>
          <w:lang w:val="es-MX" w:eastAsia="es-MX"/>
        </w:rPr>
      </w:pPr>
      <w:r w:rsidRPr="0001546D">
        <w:rPr>
          <w:lang w:val="es-MX" w:eastAsia="es-MX"/>
        </w:rPr>
        <w:t xml:space="preserve">Un primer análisis de las pruebas diagnóstica de álgebra básica evidencia establece una confusión entre los conocimientos (conocimientos básicos de números reales) y los </w:t>
      </w:r>
      <w:r w:rsidR="00232AFB" w:rsidRPr="0001546D">
        <w:rPr>
          <w:lang w:val="es-MX" w:eastAsia="es-MX"/>
        </w:rPr>
        <w:t>procedimientos</w:t>
      </w:r>
      <w:r w:rsidRPr="0001546D">
        <w:rPr>
          <w:lang w:val="es-MX" w:eastAsia="es-MX"/>
        </w:rPr>
        <w:t xml:space="preserve"> matemáticos</w:t>
      </w:r>
      <w:r w:rsidR="00A36DD9" w:rsidRPr="0001546D">
        <w:rPr>
          <w:lang w:val="es-MX" w:eastAsia="es-MX"/>
        </w:rPr>
        <w:t>.</w:t>
      </w:r>
    </w:p>
    <w:p w14:paraId="4D8BCF77" w14:textId="77777777" w:rsidR="00A36DD9" w:rsidRPr="0001546D" w:rsidRDefault="00A67AC1" w:rsidP="0001546D">
      <w:pPr>
        <w:spacing w:line="360" w:lineRule="auto"/>
        <w:jc w:val="both"/>
        <w:rPr>
          <w:lang w:val="es-MX" w:eastAsia="es-MX"/>
        </w:rPr>
      </w:pPr>
      <w:r w:rsidRPr="0001546D">
        <w:rPr>
          <w:lang w:val="es-MX" w:eastAsia="es-MX"/>
        </w:rPr>
        <w:t>S</w:t>
      </w:r>
      <w:r w:rsidR="00D613F4" w:rsidRPr="0001546D">
        <w:rPr>
          <w:lang w:val="es-MX" w:eastAsia="es-MX"/>
        </w:rPr>
        <w:t>e constató que los estudiantes no mostraron dominio de estrategias para resolver problemas y su nivel de conformidad con las explicaciones se quedó en la repetición de las mismas afirmaciones que se solicitó justificar.</w:t>
      </w:r>
      <w:r w:rsidR="00C27918" w:rsidRPr="0001546D">
        <w:rPr>
          <w:lang w:val="es-MX" w:eastAsia="es-MX"/>
        </w:rPr>
        <w:t xml:space="preserve"> A pesar que el grupo experimental concluyó el proceso para la obtención del dato de la desviación estándar no se observó mayor aprendizaje para la interpretación del dato, ya que en ambos grupos dependieron de la orientación del profesor para la utilización del dato en la toma de decisiones. Cabe señalar que en el grupo experimental por el hecho de obtener el dato en menor tiempo, implícitamente tuvo espacio de tiempo para el análisis del dato y la comprensión de su utilización.</w:t>
      </w:r>
    </w:p>
    <w:p w14:paraId="6A1B3B17" w14:textId="377CE5E2" w:rsidR="00D613F4" w:rsidRPr="0001546D" w:rsidRDefault="00A67AC1" w:rsidP="0001546D">
      <w:pPr>
        <w:spacing w:line="360" w:lineRule="auto"/>
        <w:jc w:val="both"/>
        <w:rPr>
          <w:lang w:val="es-MX" w:eastAsia="es-MX"/>
        </w:rPr>
      </w:pPr>
      <w:r w:rsidRPr="0001546D">
        <w:rPr>
          <w:lang w:val="es-MX" w:eastAsia="es-MX"/>
        </w:rPr>
        <w:t>L</w:t>
      </w:r>
      <w:r w:rsidR="00D613F4" w:rsidRPr="0001546D">
        <w:rPr>
          <w:lang w:val="es-MX" w:eastAsia="es-MX"/>
        </w:rPr>
        <w:t>os estudiantes mostraron una falta de dominio en los p</w:t>
      </w:r>
      <w:r w:rsidRPr="0001546D">
        <w:rPr>
          <w:lang w:val="es-MX" w:eastAsia="es-MX"/>
        </w:rPr>
        <w:t xml:space="preserve">rerrequisitos básicos de signos de agrupación y operaciones básicas con fracciones </w:t>
      </w:r>
      <w:r w:rsidR="00D613F4" w:rsidRPr="0001546D">
        <w:rPr>
          <w:lang w:val="es-MX" w:eastAsia="es-MX"/>
        </w:rPr>
        <w:t>conocimientos indispensables para la comprensión y el estudio de los</w:t>
      </w:r>
      <w:r w:rsidR="009D24B0" w:rsidRPr="0001546D">
        <w:rPr>
          <w:lang w:val="es-MX" w:eastAsia="es-MX"/>
        </w:rPr>
        <w:t xml:space="preserve"> temas del Álgebra y el Cálculo, lo que provoca el impedimento del logro de los propósitos de las unidades de aprendizaje.</w:t>
      </w:r>
    </w:p>
    <w:p w14:paraId="76AA1D40" w14:textId="02653666" w:rsidR="003E7A81" w:rsidRPr="0001546D" w:rsidRDefault="00453260" w:rsidP="0001546D">
      <w:pPr>
        <w:spacing w:line="360" w:lineRule="auto"/>
        <w:jc w:val="both"/>
        <w:rPr>
          <w:lang w:val="es-MX"/>
        </w:rPr>
      </w:pPr>
      <w:r w:rsidRPr="0001546D">
        <w:rPr>
          <w:lang w:val="es-MX"/>
        </w:rPr>
        <w:t xml:space="preserve">La naturaleza interdisciplinar de la estadística valida la importancia de enfocar miradas que traten con aproximaciones que destaquen lo que </w:t>
      </w:r>
      <w:r w:rsidR="00232AFB" w:rsidRPr="0001546D">
        <w:rPr>
          <w:lang w:val="es-MX"/>
        </w:rPr>
        <w:t>sucede</w:t>
      </w:r>
      <w:r w:rsidRPr="0001546D">
        <w:rPr>
          <w:lang w:val="es-MX"/>
        </w:rPr>
        <w:t xml:space="preserve"> en los contextos educativos tomando en consideración este particular.  Los conceptos estadísticos hoy transversalizan todas las áreas de estudio tales como ciencias sociales, biología, geografía, etc., demandando esto una exigencia elevada tanto para el profesor como para el educando. Creemos, pues, que el uso bien planeado de la apps es un medio valioso para aprender estadística, explorar ideas, resolver problemas y aplicar la estadística en la interpretación de la vida cotidiana del alumno.</w:t>
      </w:r>
    </w:p>
    <w:p w14:paraId="31CB1E7E" w14:textId="77777777" w:rsidR="003E7A81" w:rsidRPr="0001546D" w:rsidRDefault="003E7A81" w:rsidP="0001546D">
      <w:pPr>
        <w:spacing w:line="360" w:lineRule="auto"/>
        <w:jc w:val="both"/>
        <w:rPr>
          <w:lang w:val="es-MX"/>
        </w:rPr>
      </w:pPr>
    </w:p>
    <w:p w14:paraId="1AF11701" w14:textId="77777777" w:rsidR="003E7A81" w:rsidRPr="0001546D" w:rsidRDefault="003E7A81" w:rsidP="0001546D">
      <w:pPr>
        <w:spacing w:line="360" w:lineRule="auto"/>
        <w:jc w:val="both"/>
        <w:rPr>
          <w:lang w:val="es-MX"/>
        </w:rPr>
      </w:pPr>
    </w:p>
    <w:p w14:paraId="25AFE9A4" w14:textId="77777777" w:rsidR="003E7A81" w:rsidRPr="0001546D" w:rsidRDefault="003E7A81" w:rsidP="0001546D">
      <w:pPr>
        <w:spacing w:line="360" w:lineRule="auto"/>
        <w:jc w:val="both"/>
        <w:rPr>
          <w:lang w:val="es-MX"/>
        </w:rPr>
      </w:pPr>
    </w:p>
    <w:p w14:paraId="79448DD8" w14:textId="38FB25A2" w:rsidR="0077108B" w:rsidRPr="009A616C" w:rsidRDefault="003E7A81" w:rsidP="009A616C">
      <w:pPr>
        <w:spacing w:line="360" w:lineRule="auto"/>
        <w:rPr>
          <w:rFonts w:ascii="Calibri" w:hAnsi="Calibri" w:cs="Calibri"/>
          <w:b/>
          <w:color w:val="000000"/>
          <w:sz w:val="28"/>
          <w:szCs w:val="28"/>
          <w:lang w:val="es-ES_tradnl" w:eastAsia="es-MX"/>
        </w:rPr>
      </w:pPr>
      <w:r w:rsidRPr="009A616C">
        <w:rPr>
          <w:rFonts w:ascii="Calibri" w:hAnsi="Calibri" w:cs="Calibri"/>
          <w:b/>
          <w:color w:val="000000"/>
          <w:sz w:val="28"/>
          <w:szCs w:val="28"/>
          <w:lang w:val="es-ES_tradnl" w:eastAsia="es-MX"/>
        </w:rPr>
        <w:lastRenderedPageBreak/>
        <w:t>R</w:t>
      </w:r>
      <w:r w:rsidR="00B15072" w:rsidRPr="009A616C">
        <w:rPr>
          <w:rFonts w:ascii="Calibri" w:hAnsi="Calibri" w:cs="Calibri"/>
          <w:b/>
          <w:color w:val="000000"/>
          <w:sz w:val="28"/>
          <w:szCs w:val="28"/>
          <w:lang w:val="es-ES_tradnl" w:eastAsia="es-MX"/>
        </w:rPr>
        <w:t>eferencias</w:t>
      </w:r>
    </w:p>
    <w:p w14:paraId="21ED3158" w14:textId="01A911CF" w:rsidR="00F0688A" w:rsidRPr="0001546D" w:rsidRDefault="00F0688A" w:rsidP="0001546D">
      <w:pPr>
        <w:spacing w:before="240" w:line="360" w:lineRule="auto"/>
        <w:ind w:left="567" w:hanging="567"/>
        <w:jc w:val="both"/>
        <w:rPr>
          <w:lang w:val="es-MX"/>
        </w:rPr>
      </w:pPr>
      <w:r w:rsidRPr="0001546D">
        <w:t>Amador, R. (</w:t>
      </w:r>
      <w:proofErr w:type="spellStart"/>
      <w:r w:rsidRPr="0001546D">
        <w:t>Coord</w:t>
      </w:r>
      <w:proofErr w:type="spellEnd"/>
      <w:r w:rsidRPr="0001546D">
        <w:t>)</w:t>
      </w:r>
      <w:r w:rsidR="007118E2" w:rsidRPr="0001546D">
        <w:t>.</w:t>
      </w:r>
      <w:r w:rsidRPr="0001546D">
        <w:t xml:space="preserve"> </w:t>
      </w:r>
      <w:r w:rsidRPr="0001546D">
        <w:rPr>
          <w:spacing w:val="-3"/>
        </w:rPr>
        <w:t xml:space="preserve">(2008). </w:t>
      </w:r>
      <w:r w:rsidRPr="0001546D">
        <w:rPr>
          <w:i/>
          <w:w w:val="105"/>
        </w:rPr>
        <w:t>Educación y tecnologías de la información y la comunicación. Paradigmas teóricos de la investigación.</w:t>
      </w:r>
      <w:r w:rsidRPr="0001546D">
        <w:rPr>
          <w:w w:val="105"/>
        </w:rPr>
        <w:t xml:space="preserve"> México: IISUE-UNAM/Plaza Valdés Editores</w:t>
      </w:r>
      <w:r w:rsidR="00C443E6" w:rsidRPr="0001546D">
        <w:rPr>
          <w:w w:val="105"/>
        </w:rPr>
        <w:t>.</w:t>
      </w:r>
    </w:p>
    <w:p w14:paraId="238AD0BE" w14:textId="538B07C2" w:rsidR="00F0688A" w:rsidRPr="0001546D" w:rsidRDefault="00BD15B3" w:rsidP="0001546D">
      <w:pPr>
        <w:shd w:val="clear" w:color="auto" w:fill="FFFFFF"/>
        <w:spacing w:before="240" w:line="360" w:lineRule="auto"/>
        <w:ind w:left="567" w:hanging="567"/>
        <w:jc w:val="both"/>
      </w:pPr>
      <w:proofErr w:type="spellStart"/>
      <w:r w:rsidRPr="0001546D">
        <w:t>Aparici</w:t>
      </w:r>
      <w:proofErr w:type="spellEnd"/>
      <w:r w:rsidRPr="0001546D">
        <w:t>, R. (</w:t>
      </w:r>
      <w:proofErr w:type="spellStart"/>
      <w:r w:rsidRPr="0001546D">
        <w:t>C</w:t>
      </w:r>
      <w:r w:rsidR="00F0688A" w:rsidRPr="0001546D">
        <w:t>oord</w:t>
      </w:r>
      <w:proofErr w:type="spellEnd"/>
      <w:r w:rsidR="00F0688A" w:rsidRPr="0001546D">
        <w:t>)</w:t>
      </w:r>
      <w:r w:rsidRPr="0001546D">
        <w:t>.</w:t>
      </w:r>
      <w:r w:rsidR="00F0688A" w:rsidRPr="0001546D">
        <w:t xml:space="preserve"> (2010). </w:t>
      </w:r>
      <w:r w:rsidR="00F0688A" w:rsidRPr="0001546D">
        <w:rPr>
          <w:i/>
        </w:rPr>
        <w:t>Conectados en el ciberespacio</w:t>
      </w:r>
      <w:r w:rsidR="00F0688A" w:rsidRPr="0001546D">
        <w:t>. Madrid</w:t>
      </w:r>
      <w:r w:rsidR="007118E2" w:rsidRPr="0001546D">
        <w:t>, España</w:t>
      </w:r>
      <w:r w:rsidR="00F0688A" w:rsidRPr="0001546D">
        <w:t>: UNED.</w:t>
      </w:r>
    </w:p>
    <w:p w14:paraId="1F76BF59" w14:textId="0D27EFA7" w:rsidR="00F0688A" w:rsidRPr="0001546D" w:rsidRDefault="00F0688A" w:rsidP="0001546D">
      <w:pPr>
        <w:shd w:val="clear" w:color="auto" w:fill="FFFFFF"/>
        <w:spacing w:before="240" w:line="360" w:lineRule="auto"/>
        <w:ind w:left="567" w:hanging="567"/>
        <w:jc w:val="both"/>
      </w:pPr>
      <w:r w:rsidRPr="0001546D">
        <w:t>Asociación de Internet MX</w:t>
      </w:r>
      <w:r w:rsidR="00BD15B3" w:rsidRPr="0001546D">
        <w:t>.</w:t>
      </w:r>
      <w:r w:rsidRPr="0001546D">
        <w:t xml:space="preserve"> (2019). </w:t>
      </w:r>
      <w:r w:rsidRPr="0001546D">
        <w:rPr>
          <w:i/>
        </w:rPr>
        <w:t xml:space="preserve">15° Estudio sobre los Hábitos de los Usuarios de Internet en México 2018. </w:t>
      </w:r>
      <w:r w:rsidRPr="0001546D">
        <w:t xml:space="preserve">Recuperado de </w:t>
      </w:r>
      <w:r w:rsidRPr="009A616C">
        <w:t>https://www.asociaciondeinternet.mx/es/estudios</w:t>
      </w:r>
    </w:p>
    <w:p w14:paraId="29978742" w14:textId="7F4DBF95" w:rsidR="00F0688A" w:rsidRPr="0001546D" w:rsidRDefault="00F0688A" w:rsidP="0001546D">
      <w:pPr>
        <w:shd w:val="clear" w:color="auto" w:fill="FFFFFF"/>
        <w:spacing w:before="240" w:line="360" w:lineRule="auto"/>
        <w:ind w:left="567" w:hanging="567"/>
        <w:jc w:val="both"/>
      </w:pPr>
      <w:r w:rsidRPr="0001546D">
        <w:t>Cánovas, G. (2014). Menores de edad y conectividad móvil en España</w:t>
      </w:r>
      <w:r w:rsidR="00C443E6" w:rsidRPr="0001546D">
        <w:t xml:space="preserve">: </w:t>
      </w:r>
      <w:proofErr w:type="spellStart"/>
      <w:r w:rsidR="00C443E6" w:rsidRPr="0001546D">
        <w:t>Tablets</w:t>
      </w:r>
      <w:proofErr w:type="spellEnd"/>
      <w:r w:rsidR="00C443E6" w:rsidRPr="0001546D">
        <w:t xml:space="preserve"> y Smartphone</w:t>
      </w:r>
      <w:r w:rsidRPr="0001546D">
        <w:t xml:space="preserve">. </w:t>
      </w:r>
      <w:r w:rsidR="009739C3" w:rsidRPr="0001546D">
        <w:t xml:space="preserve">Centro de Seguridad en Internet para los Menores en España. </w:t>
      </w:r>
      <w:r w:rsidRPr="0001546D">
        <w:t xml:space="preserve">Recuperado de </w:t>
      </w:r>
      <w:r w:rsidRPr="009A616C">
        <w:t>http://www.diainternetsegura.es/descargas/estudio_movil_smartphones_tabl ets_v2c.pdf</w:t>
      </w:r>
    </w:p>
    <w:p w14:paraId="352CC538" w14:textId="59928358" w:rsidR="00F0688A" w:rsidRPr="0001546D" w:rsidRDefault="00F0688A" w:rsidP="0001546D">
      <w:pPr>
        <w:spacing w:before="240" w:line="360" w:lineRule="auto"/>
        <w:ind w:left="567" w:hanging="567"/>
        <w:jc w:val="both"/>
        <w:rPr>
          <w:spacing w:val="-3"/>
        </w:rPr>
      </w:pPr>
      <w:r w:rsidRPr="0001546D">
        <w:rPr>
          <w:spacing w:val="-3"/>
        </w:rPr>
        <w:t>Díaz Barriga, F. y Hern</w:t>
      </w:r>
      <w:r w:rsidR="00C443E6" w:rsidRPr="0001546D">
        <w:rPr>
          <w:spacing w:val="-3"/>
        </w:rPr>
        <w:t>ández, G. (2010).</w:t>
      </w:r>
      <w:r w:rsidRPr="0001546D">
        <w:rPr>
          <w:i/>
          <w:spacing w:val="-3"/>
        </w:rPr>
        <w:t xml:space="preserve"> Estrategias docentes para un aprendizaje significativo. Una interpretación constructivista. </w:t>
      </w:r>
      <w:r w:rsidRPr="0001546D">
        <w:rPr>
          <w:spacing w:val="-3"/>
        </w:rPr>
        <w:t>3ra. Ed. México:</w:t>
      </w:r>
      <w:r w:rsidR="00C443E6" w:rsidRPr="0001546D">
        <w:rPr>
          <w:spacing w:val="-3"/>
        </w:rPr>
        <w:t xml:space="preserve"> Mc Graw-Hill.</w:t>
      </w:r>
    </w:p>
    <w:p w14:paraId="1196D1CF" w14:textId="20CCF0DC" w:rsidR="00F0688A" w:rsidRPr="0001546D" w:rsidRDefault="00F0688A" w:rsidP="0001546D">
      <w:pPr>
        <w:spacing w:before="240" w:line="360" w:lineRule="auto"/>
        <w:ind w:left="567" w:hanging="567"/>
        <w:jc w:val="both"/>
      </w:pPr>
      <w:proofErr w:type="spellStart"/>
      <w:r w:rsidRPr="0001546D">
        <w:t>Galperín</w:t>
      </w:r>
      <w:proofErr w:type="spellEnd"/>
      <w:r w:rsidR="00565551" w:rsidRPr="0001546D">
        <w:t>,</w:t>
      </w:r>
      <w:r w:rsidRPr="0001546D">
        <w:t xml:space="preserve"> P.Y. (1995). </w:t>
      </w:r>
      <w:r w:rsidRPr="0001546D">
        <w:rPr>
          <w:i/>
        </w:rPr>
        <w:t>Teoría de la formación por etapas de las acciones mentales</w:t>
      </w:r>
      <w:r w:rsidRPr="0001546D">
        <w:t xml:space="preserve">. </w:t>
      </w:r>
      <w:r w:rsidR="00565551" w:rsidRPr="0001546D">
        <w:t xml:space="preserve">Moscú, Rusia: </w:t>
      </w:r>
      <w:r w:rsidRPr="0001546D">
        <w:t>Editorial MGY</w:t>
      </w:r>
      <w:r w:rsidR="00AB5272" w:rsidRPr="0001546D">
        <w:t>.</w:t>
      </w:r>
      <w:r w:rsidRPr="0001546D">
        <w:t xml:space="preserve"> </w:t>
      </w:r>
    </w:p>
    <w:p w14:paraId="61FBAB38" w14:textId="7DA3E70A" w:rsidR="00F0688A" w:rsidRPr="0001546D" w:rsidRDefault="00F0688A" w:rsidP="0001546D">
      <w:pPr>
        <w:shd w:val="clear" w:color="auto" w:fill="FFFFFF"/>
        <w:spacing w:before="240" w:line="360" w:lineRule="auto"/>
        <w:ind w:left="567" w:hanging="567"/>
        <w:jc w:val="both"/>
      </w:pPr>
      <w:r w:rsidRPr="0001546D">
        <w:t>Her</w:t>
      </w:r>
      <w:r w:rsidR="00C443E6" w:rsidRPr="0001546D">
        <w:t>nández, R.,</w:t>
      </w:r>
      <w:r w:rsidRPr="0001546D">
        <w:t xml:space="preserve"> Fernández, C. y Baptista, M. (2014). </w:t>
      </w:r>
      <w:r w:rsidRPr="0001546D">
        <w:rPr>
          <w:i/>
        </w:rPr>
        <w:t>Metodología de la investigación</w:t>
      </w:r>
      <w:r w:rsidRPr="0001546D">
        <w:t>. 6ta ed. Ciudad de México: Ed. McGraw Hill.</w:t>
      </w:r>
    </w:p>
    <w:p w14:paraId="0EE465F4" w14:textId="3776F0D3" w:rsidR="00F0688A" w:rsidRPr="0001546D" w:rsidRDefault="00F0688A" w:rsidP="0001546D">
      <w:pPr>
        <w:pStyle w:val="Default"/>
        <w:spacing w:before="240" w:line="360" w:lineRule="auto"/>
        <w:ind w:left="567" w:hanging="567"/>
        <w:jc w:val="both"/>
        <w:rPr>
          <w:rFonts w:ascii="Times New Roman" w:hAnsi="Times New Roman" w:cs="Times New Roman"/>
          <w:color w:val="auto"/>
          <w:spacing w:val="-3"/>
        </w:rPr>
      </w:pPr>
      <w:r w:rsidRPr="0001546D">
        <w:rPr>
          <w:rFonts w:ascii="Times New Roman" w:hAnsi="Times New Roman" w:cs="Times New Roman"/>
          <w:color w:val="auto"/>
        </w:rPr>
        <w:t xml:space="preserve">Hernanz, J. y </w:t>
      </w:r>
      <w:proofErr w:type="spellStart"/>
      <w:r w:rsidRPr="0001546D">
        <w:rPr>
          <w:rFonts w:ascii="Times New Roman" w:hAnsi="Times New Roman" w:cs="Times New Roman"/>
          <w:color w:val="auto"/>
        </w:rPr>
        <w:t>Watty</w:t>
      </w:r>
      <w:proofErr w:type="spellEnd"/>
      <w:r w:rsidRPr="0001546D">
        <w:rPr>
          <w:rFonts w:ascii="Times New Roman" w:hAnsi="Times New Roman" w:cs="Times New Roman"/>
          <w:color w:val="auto"/>
        </w:rPr>
        <w:t>, M. (</w:t>
      </w:r>
      <w:proofErr w:type="spellStart"/>
      <w:r w:rsidRPr="0001546D">
        <w:rPr>
          <w:rFonts w:ascii="Times New Roman" w:hAnsi="Times New Roman" w:cs="Times New Roman"/>
          <w:color w:val="auto"/>
        </w:rPr>
        <w:t>Coords</w:t>
      </w:r>
      <w:proofErr w:type="spellEnd"/>
      <w:r w:rsidRPr="0001546D">
        <w:rPr>
          <w:rFonts w:ascii="Times New Roman" w:hAnsi="Times New Roman" w:cs="Times New Roman"/>
          <w:color w:val="auto"/>
        </w:rPr>
        <w:t>)</w:t>
      </w:r>
      <w:r w:rsidR="007118E2" w:rsidRPr="0001546D">
        <w:rPr>
          <w:rFonts w:ascii="Times New Roman" w:hAnsi="Times New Roman" w:cs="Times New Roman"/>
          <w:color w:val="auto"/>
        </w:rPr>
        <w:t>.</w:t>
      </w:r>
      <w:r w:rsidRPr="0001546D">
        <w:rPr>
          <w:rFonts w:ascii="Times New Roman" w:hAnsi="Times New Roman" w:cs="Times New Roman"/>
          <w:color w:val="auto"/>
        </w:rPr>
        <w:t xml:space="preserve"> (2015). Tendencias y desafíos en la innovación educativa: un debate abierto</w:t>
      </w:r>
      <w:r w:rsidRPr="0001546D">
        <w:rPr>
          <w:rFonts w:ascii="Times New Roman" w:hAnsi="Times New Roman" w:cs="Times New Roman"/>
          <w:i/>
          <w:color w:val="auto"/>
        </w:rPr>
        <w:t>.</w:t>
      </w:r>
      <w:r w:rsidRPr="0001546D">
        <w:rPr>
          <w:rFonts w:ascii="Times New Roman" w:hAnsi="Times New Roman" w:cs="Times New Roman"/>
          <w:color w:val="auto"/>
        </w:rPr>
        <w:t xml:space="preserve"> </w:t>
      </w:r>
      <w:r w:rsidRPr="0001546D">
        <w:rPr>
          <w:rFonts w:ascii="Times New Roman" w:hAnsi="Times New Roman" w:cs="Times New Roman"/>
          <w:i/>
          <w:color w:val="auto"/>
        </w:rPr>
        <w:t>Fundación para la Educación Superior Internacional, A.C</w:t>
      </w:r>
      <w:r w:rsidRPr="0001546D">
        <w:rPr>
          <w:rFonts w:ascii="Times New Roman" w:hAnsi="Times New Roman" w:cs="Times New Roman"/>
          <w:color w:val="auto"/>
        </w:rPr>
        <w:t xml:space="preserve">. </w:t>
      </w:r>
      <w:r w:rsidR="007F4891" w:rsidRPr="0001546D">
        <w:rPr>
          <w:rFonts w:ascii="Times New Roman" w:hAnsi="Times New Roman" w:cs="Times New Roman"/>
          <w:i/>
          <w:color w:val="auto"/>
        </w:rPr>
        <w:t>México</w:t>
      </w:r>
      <w:r w:rsidRPr="0001546D">
        <w:rPr>
          <w:rFonts w:ascii="Times New Roman" w:hAnsi="Times New Roman" w:cs="Times New Roman"/>
          <w:color w:val="auto"/>
        </w:rPr>
        <w:t xml:space="preserve">. </w:t>
      </w:r>
      <w:proofErr w:type="spellStart"/>
      <w:r w:rsidRPr="0001546D">
        <w:rPr>
          <w:rFonts w:ascii="Times New Roman" w:hAnsi="Times New Roman" w:cs="Times New Roman"/>
          <w:color w:val="auto"/>
        </w:rPr>
        <w:t>Pag.</w:t>
      </w:r>
      <w:proofErr w:type="spellEnd"/>
      <w:r w:rsidRPr="0001546D">
        <w:rPr>
          <w:rFonts w:ascii="Times New Roman" w:hAnsi="Times New Roman" w:cs="Times New Roman"/>
          <w:color w:val="auto"/>
        </w:rPr>
        <w:t xml:space="preserve"> 1117-1134.</w:t>
      </w:r>
      <w:r w:rsidRPr="0001546D">
        <w:rPr>
          <w:rFonts w:ascii="Times New Roman" w:hAnsi="Times New Roman" w:cs="Times New Roman"/>
          <w:i/>
          <w:color w:val="auto"/>
        </w:rPr>
        <w:t xml:space="preserve"> </w:t>
      </w:r>
      <w:r w:rsidRPr="0001546D">
        <w:rPr>
          <w:rFonts w:ascii="Times New Roman" w:hAnsi="Times New Roman" w:cs="Times New Roman"/>
          <w:color w:val="auto"/>
        </w:rPr>
        <w:t xml:space="preserve">Recuperado de </w:t>
      </w:r>
      <w:r w:rsidRPr="009A616C">
        <w:rPr>
          <w:rFonts w:ascii="Times New Roman" w:hAnsi="Times New Roman" w:cs="Times New Roman"/>
        </w:rPr>
        <w:t>https://www.repo-ciie.cgfie.ipn.mx/pdf/477.pdf</w:t>
      </w:r>
    </w:p>
    <w:p w14:paraId="6B27F69D" w14:textId="77777777" w:rsidR="00F0688A" w:rsidRPr="0001546D" w:rsidRDefault="00F0688A" w:rsidP="0001546D">
      <w:pPr>
        <w:shd w:val="clear" w:color="auto" w:fill="FFFFFF"/>
        <w:spacing w:before="240" w:line="360" w:lineRule="auto"/>
        <w:ind w:left="567" w:hanging="567"/>
        <w:jc w:val="both"/>
      </w:pPr>
      <w:r w:rsidRPr="0001546D">
        <w:t xml:space="preserve">Mendoza, A., Acevedo, D. y Tejada, C. (2015). Teoría de la Formación por Etapas de las Acciones Mentales (TFEAM) en la Enseñanza y Aprendizaje del Concepto de Valencia Química. </w:t>
      </w:r>
      <w:r w:rsidRPr="0001546D">
        <w:rPr>
          <w:i/>
        </w:rPr>
        <w:t>Formación Universitaria</w:t>
      </w:r>
      <w:r w:rsidRPr="0001546D">
        <w:t>. Vol. 9(1), 71-76.doi: 10.4067/S0718-0062016000100008</w:t>
      </w:r>
    </w:p>
    <w:p w14:paraId="772CCEFB" w14:textId="1D6839AA" w:rsidR="00F0688A" w:rsidRPr="0001546D" w:rsidRDefault="00F0688A" w:rsidP="0001546D">
      <w:pPr>
        <w:spacing w:before="240" w:line="360" w:lineRule="auto"/>
        <w:ind w:left="567" w:hanging="567"/>
        <w:jc w:val="both"/>
      </w:pPr>
      <w:r w:rsidRPr="0001546D">
        <w:rPr>
          <w:color w:val="000000"/>
        </w:rPr>
        <w:t xml:space="preserve">Morales, E. (2009). Los conocimientos previos y su importancia para la comprensión del lenguaje </w:t>
      </w:r>
      <w:r w:rsidRPr="0001546D">
        <w:t>matemático en la educación superior. </w:t>
      </w:r>
      <w:r w:rsidRPr="0001546D">
        <w:rPr>
          <w:i/>
          <w:iCs/>
        </w:rPr>
        <w:t xml:space="preserve">Universidad, Ciencia y </w:t>
      </w:r>
      <w:r w:rsidRPr="0001546D">
        <w:rPr>
          <w:i/>
          <w:iCs/>
        </w:rPr>
        <w:lastRenderedPageBreak/>
        <w:t>Tecnología</w:t>
      </w:r>
      <w:r w:rsidRPr="0001546D">
        <w:t>, </w:t>
      </w:r>
      <w:r w:rsidRPr="0001546D">
        <w:rPr>
          <w:i/>
          <w:iCs/>
        </w:rPr>
        <w:t>13</w:t>
      </w:r>
      <w:r w:rsidRPr="0001546D">
        <w:t xml:space="preserve">(52), 211-222. Recuperado de </w:t>
      </w:r>
      <w:r w:rsidRPr="009A616C">
        <w:t>http://ve.scielo.org/scielo.php?script=sci_arttext&amp;pid=S1316-48212009000300004&amp;lng=es&amp;tlng=es</w:t>
      </w:r>
      <w:r w:rsidRPr="0001546D">
        <w:t>.</w:t>
      </w:r>
    </w:p>
    <w:p w14:paraId="0D0D6D65" w14:textId="29B7186D" w:rsidR="00F0688A" w:rsidRPr="0001546D" w:rsidRDefault="00F0688A" w:rsidP="0001546D">
      <w:pPr>
        <w:spacing w:before="240" w:after="240" w:line="360" w:lineRule="auto"/>
        <w:ind w:left="567" w:hanging="567"/>
        <w:jc w:val="both"/>
      </w:pPr>
      <w:proofErr w:type="spellStart"/>
      <w:r w:rsidRPr="0001546D">
        <w:t>O</w:t>
      </w:r>
      <w:r w:rsidR="00AB5272" w:rsidRPr="0001546D">
        <w:t>’Malley</w:t>
      </w:r>
      <w:proofErr w:type="spellEnd"/>
      <w:r w:rsidR="00AB5272" w:rsidRPr="0001546D">
        <w:t xml:space="preserve"> C., </w:t>
      </w:r>
      <w:proofErr w:type="spellStart"/>
      <w:r w:rsidR="00AB5272" w:rsidRPr="0001546D">
        <w:t>Vavoula</w:t>
      </w:r>
      <w:proofErr w:type="spellEnd"/>
      <w:r w:rsidR="00AB5272" w:rsidRPr="0001546D">
        <w:t xml:space="preserve">, G., Glew, J., Taylor, J., </w:t>
      </w:r>
      <w:proofErr w:type="spellStart"/>
      <w:r w:rsidR="00AB5272" w:rsidRPr="0001546D">
        <w:t>Sharples</w:t>
      </w:r>
      <w:proofErr w:type="spellEnd"/>
      <w:r w:rsidR="00AB5272" w:rsidRPr="0001546D">
        <w:t>, M. y</w:t>
      </w:r>
      <w:r w:rsidRPr="0001546D">
        <w:t xml:space="preserve"> </w:t>
      </w:r>
      <w:proofErr w:type="spellStart"/>
      <w:r w:rsidRPr="0001546D">
        <w:t>Lefrere</w:t>
      </w:r>
      <w:proofErr w:type="spellEnd"/>
      <w:r w:rsidR="00AB5272" w:rsidRPr="0001546D">
        <w:t>,</w:t>
      </w:r>
      <w:r w:rsidR="00BD15B3" w:rsidRPr="0001546D">
        <w:t xml:space="preserve"> P. (2005</w:t>
      </w:r>
      <w:r w:rsidRPr="0001546D">
        <w:t xml:space="preserve">). </w:t>
      </w:r>
      <w:proofErr w:type="spellStart"/>
      <w:r w:rsidRPr="0001546D">
        <w:t>Guidelines</w:t>
      </w:r>
      <w:proofErr w:type="spellEnd"/>
      <w:r w:rsidRPr="0001546D">
        <w:t xml:space="preserve"> </w:t>
      </w:r>
      <w:proofErr w:type="spellStart"/>
      <w:r w:rsidRPr="0001546D">
        <w:t>for</w:t>
      </w:r>
      <w:proofErr w:type="spellEnd"/>
      <w:r w:rsidRPr="0001546D">
        <w:t xml:space="preserve"> </w:t>
      </w:r>
      <w:proofErr w:type="spellStart"/>
      <w:r w:rsidRPr="0001546D">
        <w:t>Learning</w:t>
      </w:r>
      <w:proofErr w:type="spellEnd"/>
      <w:r w:rsidRPr="0001546D">
        <w:t>/</w:t>
      </w:r>
      <w:proofErr w:type="spellStart"/>
      <w:r w:rsidRPr="0001546D">
        <w:t>Teaching</w:t>
      </w:r>
      <w:proofErr w:type="spellEnd"/>
      <w:r w:rsidRPr="0001546D">
        <w:t>/</w:t>
      </w:r>
      <w:proofErr w:type="spellStart"/>
      <w:r w:rsidRPr="0001546D">
        <w:t>Tutoring</w:t>
      </w:r>
      <w:proofErr w:type="spellEnd"/>
      <w:r w:rsidRPr="0001546D">
        <w:t xml:space="preserve"> in a Mobile </w:t>
      </w:r>
      <w:proofErr w:type="spellStart"/>
      <w:r w:rsidRPr="0001546D">
        <w:t>Environment</w:t>
      </w:r>
      <w:proofErr w:type="spellEnd"/>
      <w:r w:rsidRPr="0001546D">
        <w:t xml:space="preserve">. </w:t>
      </w:r>
      <w:proofErr w:type="spellStart"/>
      <w:r w:rsidR="00BD15B3" w:rsidRPr="0001546D">
        <w:rPr>
          <w:i/>
        </w:rPr>
        <w:t>MOBIlearn</w:t>
      </w:r>
      <w:proofErr w:type="spellEnd"/>
      <w:r w:rsidR="00BD15B3" w:rsidRPr="0001546D">
        <w:rPr>
          <w:i/>
        </w:rPr>
        <w:t>.</w:t>
      </w:r>
      <w:r w:rsidRPr="0001546D">
        <w:t xml:space="preserve"> </w:t>
      </w:r>
      <w:r w:rsidR="00BD15B3" w:rsidRPr="0001546D">
        <w:t xml:space="preserve">Recuperado de </w:t>
      </w:r>
      <w:r w:rsidR="00BD15B3" w:rsidRPr="009A616C">
        <w:t>https://hal.archives-ouvertes.fr/hal-00696244/document</w:t>
      </w:r>
    </w:p>
    <w:p w14:paraId="572A790E" w14:textId="721AE5C9" w:rsidR="00F0688A" w:rsidRPr="0001546D" w:rsidRDefault="00F0688A" w:rsidP="0001546D">
      <w:pPr>
        <w:autoSpaceDE w:val="0"/>
        <w:autoSpaceDN w:val="0"/>
        <w:adjustRightInd w:val="0"/>
        <w:spacing w:after="240" w:line="360" w:lineRule="auto"/>
        <w:ind w:left="709" w:hanging="709"/>
        <w:jc w:val="both"/>
        <w:rPr>
          <w:rStyle w:val="Hipervnculo"/>
          <w:color w:val="auto"/>
        </w:rPr>
      </w:pPr>
      <w:r w:rsidRPr="0001546D">
        <w:t>OCDE</w:t>
      </w:r>
      <w:r w:rsidR="007118E2" w:rsidRPr="0001546D">
        <w:t>.</w:t>
      </w:r>
      <w:r w:rsidRPr="0001546D">
        <w:t xml:space="preserve"> (2010)</w:t>
      </w:r>
      <w:r w:rsidR="007118E2" w:rsidRPr="0001546D">
        <w:t>.</w:t>
      </w:r>
      <w:r w:rsidRPr="0001546D">
        <w:t xml:space="preserve"> Habilidades y competencias del siglo XXI para los aprendices del nuevo milenio en los países de la OCDE.</w:t>
      </w:r>
      <w:r w:rsidRPr="0001546D">
        <w:rPr>
          <w:i/>
        </w:rPr>
        <w:t xml:space="preserve"> </w:t>
      </w:r>
      <w:r w:rsidRPr="0001546D">
        <w:t xml:space="preserve">Recuperado de </w:t>
      </w:r>
      <w:r w:rsidRPr="009A616C">
        <w:t>http://recursostic.educacion.es/blogs/europa/media/blogs/europa/informes/Habilidades_y_competencias_siglo21_OCDE.pdf</w:t>
      </w:r>
      <w:r w:rsidRPr="0001546D">
        <w:rPr>
          <w:rStyle w:val="Hipervnculo"/>
          <w:color w:val="auto"/>
        </w:rPr>
        <w:t>.</w:t>
      </w:r>
    </w:p>
    <w:p w14:paraId="1373053A" w14:textId="050A8429" w:rsidR="00F0688A" w:rsidRPr="0001546D" w:rsidRDefault="00F0688A" w:rsidP="0001546D">
      <w:pPr>
        <w:shd w:val="clear" w:color="auto" w:fill="FFFFFF"/>
        <w:spacing w:before="240" w:line="360" w:lineRule="auto"/>
        <w:ind w:left="567" w:hanging="567"/>
        <w:jc w:val="both"/>
      </w:pPr>
      <w:r w:rsidRPr="0001546D">
        <w:t xml:space="preserve">Rinaldi, M. (2012). Revolución Mobile </w:t>
      </w:r>
      <w:proofErr w:type="spellStart"/>
      <w:r w:rsidRPr="0001546D">
        <w:t>Learning</w:t>
      </w:r>
      <w:proofErr w:type="spellEnd"/>
      <w:r w:rsidRPr="0001546D">
        <w:t xml:space="preserve">. </w:t>
      </w:r>
      <w:proofErr w:type="spellStart"/>
      <w:r w:rsidRPr="0001546D">
        <w:t>America</w:t>
      </w:r>
      <w:proofErr w:type="spellEnd"/>
      <w:r w:rsidRPr="0001546D">
        <w:t xml:space="preserve"> </w:t>
      </w:r>
      <w:proofErr w:type="spellStart"/>
      <w:r w:rsidRPr="0001546D">
        <w:t>Learning</w:t>
      </w:r>
      <w:proofErr w:type="spellEnd"/>
      <w:r w:rsidRPr="0001546D">
        <w:t xml:space="preserve"> &amp; Media. </w:t>
      </w:r>
      <w:r w:rsidR="00AB5272" w:rsidRPr="0001546D">
        <w:t xml:space="preserve">Recuperado de: </w:t>
      </w:r>
      <w:r w:rsidR="007F4891" w:rsidRPr="009A616C">
        <w:t>http://www.americalearningmedia.com/edicion-006/79-indicadores/325-revolucion-mobile-learning</w:t>
      </w:r>
    </w:p>
    <w:p w14:paraId="3E9C2E34" w14:textId="2747B153" w:rsidR="00F0688A" w:rsidRPr="0001546D" w:rsidRDefault="00BD15B3" w:rsidP="0001546D">
      <w:pPr>
        <w:pStyle w:val="Default"/>
        <w:spacing w:before="240" w:after="240" w:line="360" w:lineRule="auto"/>
        <w:ind w:left="567" w:hanging="567"/>
        <w:jc w:val="both"/>
        <w:rPr>
          <w:rFonts w:ascii="Times New Roman" w:hAnsi="Times New Roman" w:cs="Times New Roman"/>
          <w:color w:val="auto"/>
        </w:rPr>
      </w:pPr>
      <w:r w:rsidRPr="0001546D">
        <w:rPr>
          <w:rFonts w:ascii="Times New Roman" w:hAnsi="Times New Roman" w:cs="Times New Roman"/>
          <w:bCs/>
          <w:color w:val="auto"/>
        </w:rPr>
        <w:t>Rivero, C. y Suá</w:t>
      </w:r>
      <w:r w:rsidR="00F0688A" w:rsidRPr="0001546D">
        <w:rPr>
          <w:rFonts w:ascii="Times New Roman" w:hAnsi="Times New Roman" w:cs="Times New Roman"/>
          <w:bCs/>
          <w:color w:val="auto"/>
        </w:rPr>
        <w:t xml:space="preserve">rez C. (2017). </w:t>
      </w:r>
      <w:r w:rsidR="00F0688A" w:rsidRPr="0001546D">
        <w:rPr>
          <w:rFonts w:ascii="Times New Roman" w:hAnsi="Times New Roman" w:cs="Times New Roman"/>
          <w:color w:val="auto"/>
        </w:rPr>
        <w:t xml:space="preserve"> </w:t>
      </w:r>
      <w:r w:rsidR="00F0688A" w:rsidRPr="0001546D">
        <w:rPr>
          <w:rFonts w:ascii="Times New Roman" w:hAnsi="Times New Roman" w:cs="Times New Roman"/>
          <w:bCs/>
          <w:color w:val="auto"/>
        </w:rPr>
        <w:t xml:space="preserve">Mobile </w:t>
      </w:r>
      <w:proofErr w:type="spellStart"/>
      <w:r w:rsidR="00F0688A" w:rsidRPr="0001546D">
        <w:rPr>
          <w:rFonts w:ascii="Times New Roman" w:hAnsi="Times New Roman" w:cs="Times New Roman"/>
          <w:bCs/>
          <w:color w:val="auto"/>
        </w:rPr>
        <w:t>learning</w:t>
      </w:r>
      <w:proofErr w:type="spellEnd"/>
      <w:r w:rsidR="00F0688A" w:rsidRPr="0001546D">
        <w:rPr>
          <w:rFonts w:ascii="Times New Roman" w:hAnsi="Times New Roman" w:cs="Times New Roman"/>
          <w:bCs/>
          <w:color w:val="auto"/>
        </w:rPr>
        <w:t xml:space="preserve"> y el aprendizaje de las matemáticas: el caso del proyecto </w:t>
      </w:r>
      <w:proofErr w:type="spellStart"/>
      <w:r w:rsidR="00F0688A" w:rsidRPr="0001546D">
        <w:rPr>
          <w:rFonts w:ascii="Times New Roman" w:hAnsi="Times New Roman" w:cs="Times New Roman"/>
          <w:bCs/>
          <w:color w:val="auto"/>
        </w:rPr>
        <w:t>mati-tec</w:t>
      </w:r>
      <w:proofErr w:type="spellEnd"/>
      <w:r w:rsidR="00F0688A" w:rsidRPr="0001546D">
        <w:rPr>
          <w:rFonts w:ascii="Times New Roman" w:hAnsi="Times New Roman" w:cs="Times New Roman"/>
          <w:bCs/>
          <w:color w:val="auto"/>
        </w:rPr>
        <w:t xml:space="preserve"> en el Perú</w:t>
      </w:r>
      <w:r w:rsidR="00F0688A" w:rsidRPr="0001546D">
        <w:rPr>
          <w:rFonts w:ascii="Times New Roman" w:hAnsi="Times New Roman" w:cs="Times New Roman"/>
          <w:bCs/>
          <w:i/>
          <w:color w:val="auto"/>
        </w:rPr>
        <w:t>.</w:t>
      </w:r>
      <w:r w:rsidR="00F0688A" w:rsidRPr="0001546D">
        <w:rPr>
          <w:rFonts w:ascii="Times New Roman" w:hAnsi="Times New Roman" w:cs="Times New Roman"/>
          <w:i/>
          <w:color w:val="auto"/>
        </w:rPr>
        <w:t xml:space="preserve"> Tendencias Pedagógicas</w:t>
      </w:r>
      <w:r w:rsidR="00F0688A" w:rsidRPr="0001546D">
        <w:rPr>
          <w:rFonts w:ascii="Times New Roman" w:hAnsi="Times New Roman" w:cs="Times New Roman"/>
          <w:color w:val="auto"/>
        </w:rPr>
        <w:t xml:space="preserve">. Nº30. Recuperado de </w:t>
      </w:r>
      <w:r w:rsidR="00F0688A" w:rsidRPr="009A616C">
        <w:rPr>
          <w:rFonts w:ascii="Times New Roman" w:hAnsi="Times New Roman" w:cs="Times New Roman"/>
        </w:rPr>
        <w:t>https://repositorio.uam.es/handle/10486/678880</w:t>
      </w:r>
    </w:p>
    <w:p w14:paraId="08A55A35" w14:textId="2B80CE16" w:rsidR="00F0688A" w:rsidRPr="0001546D" w:rsidRDefault="00F0688A" w:rsidP="0001546D">
      <w:pPr>
        <w:autoSpaceDE w:val="0"/>
        <w:autoSpaceDN w:val="0"/>
        <w:adjustRightInd w:val="0"/>
        <w:spacing w:after="240" w:line="360" w:lineRule="auto"/>
        <w:ind w:left="709" w:hanging="709"/>
        <w:jc w:val="both"/>
        <w:rPr>
          <w:u w:val="single"/>
        </w:rPr>
      </w:pPr>
      <w:r w:rsidRPr="0001546D">
        <w:t>Sevilla</w:t>
      </w:r>
      <w:r w:rsidR="00C443E6" w:rsidRPr="0001546D">
        <w:t>,</w:t>
      </w:r>
      <w:r w:rsidRPr="0001546D">
        <w:t xml:space="preserve"> H., </w:t>
      </w:r>
      <w:proofErr w:type="spellStart"/>
      <w:r w:rsidRPr="0001546D">
        <w:t>Tarasow</w:t>
      </w:r>
      <w:proofErr w:type="spellEnd"/>
      <w:r w:rsidR="00C443E6" w:rsidRPr="0001546D">
        <w:t>,</w:t>
      </w:r>
      <w:r w:rsidR="007F4891" w:rsidRPr="0001546D">
        <w:t xml:space="preserve"> F.</w:t>
      </w:r>
      <w:r w:rsidRPr="0001546D">
        <w:t xml:space="preserve"> y Luna, M. (</w:t>
      </w:r>
      <w:proofErr w:type="spellStart"/>
      <w:r w:rsidRPr="0001546D">
        <w:t>Coords</w:t>
      </w:r>
      <w:proofErr w:type="spellEnd"/>
      <w:r w:rsidRPr="0001546D">
        <w:t>)</w:t>
      </w:r>
      <w:r w:rsidR="007118E2" w:rsidRPr="0001546D">
        <w:t>.</w:t>
      </w:r>
      <w:r w:rsidRPr="0001546D">
        <w:t xml:space="preserve"> (2017</w:t>
      </w:r>
      <w:r w:rsidRPr="0001546D">
        <w:rPr>
          <w:i/>
        </w:rPr>
        <w:t>)</w:t>
      </w:r>
      <w:r w:rsidR="007F4891" w:rsidRPr="0001546D">
        <w:rPr>
          <w:i/>
        </w:rPr>
        <w:t>.</w:t>
      </w:r>
      <w:r w:rsidRPr="0001546D">
        <w:rPr>
          <w:i/>
        </w:rPr>
        <w:t xml:space="preserve"> Educar en la era digital. Docencia, tecnología y aprendizaje</w:t>
      </w:r>
      <w:r w:rsidRPr="0001546D">
        <w:t xml:space="preserve">. México: Editorial Pandora </w:t>
      </w:r>
    </w:p>
    <w:p w14:paraId="4A826A83" w14:textId="2716F27F" w:rsidR="00F0688A" w:rsidRPr="0001546D" w:rsidRDefault="00F0688A" w:rsidP="0001546D">
      <w:pPr>
        <w:spacing w:before="240" w:line="360" w:lineRule="auto"/>
        <w:ind w:left="567" w:hanging="567"/>
        <w:jc w:val="both"/>
        <w:rPr>
          <w:spacing w:val="-3"/>
        </w:rPr>
      </w:pPr>
      <w:proofErr w:type="spellStart"/>
      <w:r w:rsidRPr="0001546D">
        <w:rPr>
          <w:spacing w:val="-3"/>
        </w:rPr>
        <w:t>Talízina</w:t>
      </w:r>
      <w:proofErr w:type="spellEnd"/>
      <w:r w:rsidR="00C443E6" w:rsidRPr="0001546D">
        <w:rPr>
          <w:spacing w:val="-3"/>
        </w:rPr>
        <w:t>,</w:t>
      </w:r>
      <w:r w:rsidRPr="0001546D">
        <w:rPr>
          <w:spacing w:val="-3"/>
        </w:rPr>
        <w:t xml:space="preserve"> N. (1988). </w:t>
      </w:r>
      <w:r w:rsidRPr="0001546D">
        <w:rPr>
          <w:i/>
          <w:spacing w:val="-3"/>
        </w:rPr>
        <w:t>Psicología de la enseñanza</w:t>
      </w:r>
      <w:r w:rsidRPr="0001546D">
        <w:rPr>
          <w:spacing w:val="-3"/>
        </w:rPr>
        <w:t xml:space="preserve">. </w:t>
      </w:r>
      <w:r w:rsidR="00C443E6" w:rsidRPr="0001546D">
        <w:rPr>
          <w:spacing w:val="-3"/>
        </w:rPr>
        <w:t>P-57. Moscú, Rusia: Editorial Progreso</w:t>
      </w:r>
      <w:r w:rsidRPr="0001546D">
        <w:rPr>
          <w:spacing w:val="-3"/>
        </w:rPr>
        <w:t xml:space="preserve">. </w:t>
      </w:r>
    </w:p>
    <w:p w14:paraId="083CF378" w14:textId="55182B9F" w:rsidR="00F0688A" w:rsidRPr="0001546D" w:rsidRDefault="00F0688A" w:rsidP="0001546D">
      <w:pPr>
        <w:spacing w:before="240" w:line="360" w:lineRule="auto"/>
        <w:ind w:left="567" w:hanging="567"/>
        <w:jc w:val="both"/>
        <w:rPr>
          <w:spacing w:val="-3"/>
        </w:rPr>
      </w:pPr>
      <w:r w:rsidRPr="0001546D">
        <w:rPr>
          <w:spacing w:val="-3"/>
        </w:rPr>
        <w:t>UNESCO</w:t>
      </w:r>
      <w:r w:rsidR="007118E2" w:rsidRPr="0001546D">
        <w:rPr>
          <w:spacing w:val="-3"/>
        </w:rPr>
        <w:t>.</w:t>
      </w:r>
      <w:r w:rsidRPr="0001546D">
        <w:rPr>
          <w:spacing w:val="-3"/>
        </w:rPr>
        <w:t xml:space="preserve"> (2013). Directrices para las</w:t>
      </w:r>
      <w:r w:rsidR="00AB5272" w:rsidRPr="0001546D">
        <w:rPr>
          <w:spacing w:val="-3"/>
        </w:rPr>
        <w:t xml:space="preserve"> políticas de aprendizaje móvil</w:t>
      </w:r>
      <w:r w:rsidRPr="0001546D">
        <w:rPr>
          <w:spacing w:val="-3"/>
        </w:rPr>
        <w:t xml:space="preserve">. Recuperado de </w:t>
      </w:r>
      <w:r w:rsidRPr="009A616C">
        <w:t>https://unesdoc.unesco.org/ark:/48223/pf0000219662</w:t>
      </w:r>
    </w:p>
    <w:p w14:paraId="1DB3CFAB" w14:textId="77777777" w:rsidR="00632D2B" w:rsidRPr="0001546D" w:rsidRDefault="00632D2B" w:rsidP="0001546D">
      <w:pPr>
        <w:spacing w:before="240" w:line="360" w:lineRule="auto"/>
        <w:ind w:left="567" w:hanging="567"/>
        <w:jc w:val="both"/>
        <w:rPr>
          <w:spacing w:val="-3"/>
        </w:rPr>
      </w:pPr>
      <w:bookmarkStart w:id="0" w:name="_GoBack"/>
      <w:bookmarkEnd w:id="0"/>
    </w:p>
    <w:sectPr w:rsidR="00632D2B" w:rsidRPr="0001546D" w:rsidSect="00F44E7A">
      <w:headerReference w:type="default" r:id="rId11"/>
      <w:footerReference w:type="default" r:id="rId12"/>
      <w:pgSz w:w="12240" w:h="15840"/>
      <w:pgMar w:top="993" w:right="1701" w:bottom="993" w:left="1701" w:header="42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219E9" w14:textId="77777777" w:rsidR="00D6197D" w:rsidRDefault="00D6197D" w:rsidP="00F44E7A">
      <w:r>
        <w:separator/>
      </w:r>
    </w:p>
  </w:endnote>
  <w:endnote w:type="continuationSeparator" w:id="0">
    <w:p w14:paraId="3D68D32B" w14:textId="77777777" w:rsidR="00D6197D" w:rsidRDefault="00D6197D" w:rsidP="00F4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ED52" w14:textId="5D62F869" w:rsidR="00F44E7A" w:rsidRPr="00F44E7A" w:rsidRDefault="00F44E7A" w:rsidP="00F44E7A">
    <w:pPr>
      <w:pStyle w:val="Piedepgina"/>
      <w:jc w:val="center"/>
      <w:rPr>
        <w:rFonts w:asciiTheme="minorHAnsi" w:hAnsiTheme="minorHAnsi" w:cstheme="minorHAnsi"/>
      </w:rPr>
    </w:pPr>
    <w:r w:rsidRPr="00F44E7A">
      <w:rPr>
        <w:rFonts w:asciiTheme="minorHAnsi" w:hAnsiTheme="minorHAnsi" w:cstheme="minorHAnsi"/>
        <w:b/>
        <w:sz w:val="22"/>
        <w:szCs w:val="22"/>
      </w:rPr>
      <w:t>Vol. 6, Núm. 12                   Julio - Diciembre 2019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58D52" w14:textId="77777777" w:rsidR="00D6197D" w:rsidRDefault="00D6197D" w:rsidP="00F44E7A">
      <w:r>
        <w:separator/>
      </w:r>
    </w:p>
  </w:footnote>
  <w:footnote w:type="continuationSeparator" w:id="0">
    <w:p w14:paraId="07492A44" w14:textId="77777777" w:rsidR="00D6197D" w:rsidRDefault="00D6197D" w:rsidP="00F4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C25D" w14:textId="38D4809B" w:rsidR="00F44E7A" w:rsidRPr="00F44E7A" w:rsidRDefault="00F44E7A" w:rsidP="00F44E7A">
    <w:pPr>
      <w:pStyle w:val="Encabezado"/>
      <w:jc w:val="center"/>
      <w:rPr>
        <w:rFonts w:asciiTheme="minorHAnsi" w:hAnsiTheme="minorHAnsi" w:cstheme="minorHAnsi"/>
      </w:rPr>
    </w:pPr>
    <w:r w:rsidRPr="00F44E7A">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61FD"/>
    <w:multiLevelType w:val="hybridMultilevel"/>
    <w:tmpl w:val="DAE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8614C8"/>
    <w:multiLevelType w:val="hybridMultilevel"/>
    <w:tmpl w:val="00229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C6"/>
    <w:rsid w:val="0001546D"/>
    <w:rsid w:val="00021735"/>
    <w:rsid w:val="00021D67"/>
    <w:rsid w:val="00055613"/>
    <w:rsid w:val="00082609"/>
    <w:rsid w:val="000A2E5D"/>
    <w:rsid w:val="00107EA4"/>
    <w:rsid w:val="001131D6"/>
    <w:rsid w:val="00126DA4"/>
    <w:rsid w:val="001454C6"/>
    <w:rsid w:val="00162C01"/>
    <w:rsid w:val="00165DF0"/>
    <w:rsid w:val="001C0CB4"/>
    <w:rsid w:val="001F0501"/>
    <w:rsid w:val="002265CD"/>
    <w:rsid w:val="00232AFB"/>
    <w:rsid w:val="002A082B"/>
    <w:rsid w:val="002D2453"/>
    <w:rsid w:val="002D69CC"/>
    <w:rsid w:val="002F1E93"/>
    <w:rsid w:val="00301E77"/>
    <w:rsid w:val="00316755"/>
    <w:rsid w:val="00332299"/>
    <w:rsid w:val="003776A2"/>
    <w:rsid w:val="00383511"/>
    <w:rsid w:val="003B1787"/>
    <w:rsid w:val="003D27D6"/>
    <w:rsid w:val="003E7A81"/>
    <w:rsid w:val="0043073E"/>
    <w:rsid w:val="00453260"/>
    <w:rsid w:val="00485DC1"/>
    <w:rsid w:val="004B5062"/>
    <w:rsid w:val="005001F4"/>
    <w:rsid w:val="00505C40"/>
    <w:rsid w:val="005200BD"/>
    <w:rsid w:val="00561F08"/>
    <w:rsid w:val="00565551"/>
    <w:rsid w:val="00595D8B"/>
    <w:rsid w:val="005B3E46"/>
    <w:rsid w:val="005E3930"/>
    <w:rsid w:val="00632D2B"/>
    <w:rsid w:val="0064462A"/>
    <w:rsid w:val="00666C3F"/>
    <w:rsid w:val="00687BAF"/>
    <w:rsid w:val="006E10DF"/>
    <w:rsid w:val="006E21F1"/>
    <w:rsid w:val="007118E2"/>
    <w:rsid w:val="00714B16"/>
    <w:rsid w:val="00722E31"/>
    <w:rsid w:val="00727A7E"/>
    <w:rsid w:val="007432A6"/>
    <w:rsid w:val="007658AD"/>
    <w:rsid w:val="0077108B"/>
    <w:rsid w:val="007F4891"/>
    <w:rsid w:val="00813364"/>
    <w:rsid w:val="0081398D"/>
    <w:rsid w:val="00841FC0"/>
    <w:rsid w:val="008436C4"/>
    <w:rsid w:val="00872E4B"/>
    <w:rsid w:val="008B3BD8"/>
    <w:rsid w:val="008B59C0"/>
    <w:rsid w:val="008B6A45"/>
    <w:rsid w:val="008C6674"/>
    <w:rsid w:val="008E67E6"/>
    <w:rsid w:val="00904369"/>
    <w:rsid w:val="00917150"/>
    <w:rsid w:val="00953817"/>
    <w:rsid w:val="00964916"/>
    <w:rsid w:val="009739C3"/>
    <w:rsid w:val="009A616C"/>
    <w:rsid w:val="009D24B0"/>
    <w:rsid w:val="009D7741"/>
    <w:rsid w:val="009F70F5"/>
    <w:rsid w:val="00A05302"/>
    <w:rsid w:val="00A36DD9"/>
    <w:rsid w:val="00A46478"/>
    <w:rsid w:val="00A5131D"/>
    <w:rsid w:val="00A67AC1"/>
    <w:rsid w:val="00A80EE3"/>
    <w:rsid w:val="00A85C7A"/>
    <w:rsid w:val="00AB5272"/>
    <w:rsid w:val="00AE620F"/>
    <w:rsid w:val="00B15072"/>
    <w:rsid w:val="00B23C3F"/>
    <w:rsid w:val="00B35949"/>
    <w:rsid w:val="00B36D56"/>
    <w:rsid w:val="00B37248"/>
    <w:rsid w:val="00BA1C90"/>
    <w:rsid w:val="00BB2FA9"/>
    <w:rsid w:val="00BD10EF"/>
    <w:rsid w:val="00BD15B3"/>
    <w:rsid w:val="00C137FA"/>
    <w:rsid w:val="00C27918"/>
    <w:rsid w:val="00C31E65"/>
    <w:rsid w:val="00C443E6"/>
    <w:rsid w:val="00C60A14"/>
    <w:rsid w:val="00C67F35"/>
    <w:rsid w:val="00C722FA"/>
    <w:rsid w:val="00C77DB2"/>
    <w:rsid w:val="00C91C50"/>
    <w:rsid w:val="00C94EB4"/>
    <w:rsid w:val="00CA3D42"/>
    <w:rsid w:val="00CB42E8"/>
    <w:rsid w:val="00CC18F1"/>
    <w:rsid w:val="00CD3A6E"/>
    <w:rsid w:val="00D05CCA"/>
    <w:rsid w:val="00D361E8"/>
    <w:rsid w:val="00D37C6C"/>
    <w:rsid w:val="00D613F4"/>
    <w:rsid w:val="00D6197D"/>
    <w:rsid w:val="00D61E42"/>
    <w:rsid w:val="00DE3D13"/>
    <w:rsid w:val="00E132C7"/>
    <w:rsid w:val="00E32A2E"/>
    <w:rsid w:val="00E3729C"/>
    <w:rsid w:val="00E41D73"/>
    <w:rsid w:val="00E45365"/>
    <w:rsid w:val="00E7036F"/>
    <w:rsid w:val="00EA0E28"/>
    <w:rsid w:val="00EE3BB2"/>
    <w:rsid w:val="00F0688A"/>
    <w:rsid w:val="00F44E7A"/>
    <w:rsid w:val="00F92793"/>
    <w:rsid w:val="00FA2576"/>
    <w:rsid w:val="00FE6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2C6A1"/>
  <w15:chartTrackingRefBased/>
  <w15:docId w15:val="{AE54FA6A-BF3F-433F-9E7D-E898A4A7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C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A0E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E41D73"/>
    <w:pPr>
      <w:keepNext/>
      <w:jc w:val="both"/>
      <w:outlineLvl w:val="3"/>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454C6"/>
    <w:rPr>
      <w:color w:val="0000FF"/>
      <w:u w:val="single"/>
    </w:rPr>
  </w:style>
  <w:style w:type="character" w:customStyle="1" w:styleId="Ttulo4Car">
    <w:name w:val="Título 4 Car"/>
    <w:basedOn w:val="Fuentedeprrafopredeter"/>
    <w:link w:val="Ttulo4"/>
    <w:rsid w:val="00E41D73"/>
    <w:rPr>
      <w:rFonts w:ascii="Times New Roman" w:eastAsia="Times New Roman" w:hAnsi="Times New Roman" w:cs="Times New Roman"/>
      <w:b/>
      <w:sz w:val="24"/>
      <w:szCs w:val="20"/>
      <w:lang w:val="es-ES_tradnl" w:eastAsia="es-ES"/>
    </w:rPr>
  </w:style>
  <w:style w:type="character" w:styleId="Refdecomentario">
    <w:name w:val="annotation reference"/>
    <w:basedOn w:val="Fuentedeprrafopredeter"/>
    <w:uiPriority w:val="99"/>
    <w:semiHidden/>
    <w:unhideWhenUsed/>
    <w:rsid w:val="0077108B"/>
    <w:rPr>
      <w:sz w:val="16"/>
      <w:szCs w:val="16"/>
    </w:rPr>
  </w:style>
  <w:style w:type="paragraph" w:styleId="Textocomentario">
    <w:name w:val="annotation text"/>
    <w:basedOn w:val="Normal"/>
    <w:link w:val="TextocomentarioCar"/>
    <w:uiPriority w:val="99"/>
    <w:semiHidden/>
    <w:unhideWhenUsed/>
    <w:rsid w:val="0077108B"/>
    <w:rPr>
      <w:sz w:val="20"/>
      <w:szCs w:val="20"/>
    </w:rPr>
  </w:style>
  <w:style w:type="character" w:customStyle="1" w:styleId="TextocomentarioCar">
    <w:name w:val="Texto comentario Car"/>
    <w:basedOn w:val="Fuentedeprrafopredeter"/>
    <w:link w:val="Textocomentario"/>
    <w:uiPriority w:val="99"/>
    <w:semiHidden/>
    <w:rsid w:val="0077108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7108B"/>
    <w:rPr>
      <w:b/>
      <w:bCs/>
    </w:rPr>
  </w:style>
  <w:style w:type="character" w:customStyle="1" w:styleId="AsuntodelcomentarioCar">
    <w:name w:val="Asunto del comentario Car"/>
    <w:basedOn w:val="TextocomentarioCar"/>
    <w:link w:val="Asuntodelcomentario"/>
    <w:uiPriority w:val="99"/>
    <w:semiHidden/>
    <w:rsid w:val="0077108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7710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108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77108B"/>
    <w:pPr>
      <w:spacing w:before="100" w:beforeAutospacing="1" w:after="100" w:afterAutospacing="1"/>
    </w:pPr>
    <w:rPr>
      <w:lang w:val="es-MX" w:eastAsia="es-MX"/>
    </w:rPr>
  </w:style>
  <w:style w:type="paragraph" w:styleId="Prrafodelista">
    <w:name w:val="List Paragraph"/>
    <w:basedOn w:val="Normal"/>
    <w:uiPriority w:val="34"/>
    <w:qFormat/>
    <w:rsid w:val="008436C4"/>
    <w:pPr>
      <w:ind w:left="720"/>
      <w:contextualSpacing/>
    </w:pPr>
  </w:style>
  <w:style w:type="character" w:customStyle="1" w:styleId="Ttulo1Car">
    <w:name w:val="Título 1 Car"/>
    <w:basedOn w:val="Fuentedeprrafopredeter"/>
    <w:link w:val="Ttulo1"/>
    <w:uiPriority w:val="9"/>
    <w:rsid w:val="00EA0E28"/>
    <w:rPr>
      <w:rFonts w:asciiTheme="majorHAnsi" w:eastAsiaTheme="majorEastAsia" w:hAnsiTheme="majorHAnsi" w:cstheme="majorBidi"/>
      <w:color w:val="2E74B5" w:themeColor="accent1" w:themeShade="BF"/>
      <w:sz w:val="32"/>
      <w:szCs w:val="32"/>
      <w:lang w:val="es-ES" w:eastAsia="es-ES"/>
    </w:rPr>
  </w:style>
  <w:style w:type="table" w:styleId="Tablaconcuadrcula">
    <w:name w:val="Table Grid"/>
    <w:basedOn w:val="Tablanormal"/>
    <w:uiPriority w:val="39"/>
    <w:rsid w:val="0081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32C7"/>
    <w:pPr>
      <w:autoSpaceDE w:val="0"/>
      <w:autoSpaceDN w:val="0"/>
      <w:adjustRightInd w:val="0"/>
      <w:spacing w:after="0" w:line="240" w:lineRule="auto"/>
    </w:pPr>
    <w:rPr>
      <w:rFonts w:ascii="DokChampa" w:hAnsi="DokChampa" w:cs="DokChampa"/>
      <w:color w:val="000000"/>
      <w:sz w:val="24"/>
      <w:szCs w:val="24"/>
    </w:rPr>
  </w:style>
  <w:style w:type="character" w:styleId="nfasis">
    <w:name w:val="Emphasis"/>
    <w:basedOn w:val="Fuentedeprrafopredeter"/>
    <w:uiPriority w:val="20"/>
    <w:qFormat/>
    <w:rsid w:val="00CC18F1"/>
    <w:rPr>
      <w:i/>
      <w:iCs/>
    </w:rPr>
  </w:style>
  <w:style w:type="character" w:styleId="Textoennegrita">
    <w:name w:val="Strong"/>
    <w:basedOn w:val="Fuentedeprrafopredeter"/>
    <w:uiPriority w:val="22"/>
    <w:qFormat/>
    <w:rsid w:val="00CC18F1"/>
    <w:rPr>
      <w:b/>
      <w:bCs/>
    </w:rPr>
  </w:style>
  <w:style w:type="paragraph" w:styleId="HTMLconformatoprevio">
    <w:name w:val="HTML Preformatted"/>
    <w:basedOn w:val="Normal"/>
    <w:link w:val="HTMLconformatoprevioCar"/>
    <w:uiPriority w:val="99"/>
    <w:semiHidden/>
    <w:unhideWhenUsed/>
    <w:rsid w:val="00AE6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AE620F"/>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F44E7A"/>
    <w:pPr>
      <w:tabs>
        <w:tab w:val="center" w:pos="4419"/>
        <w:tab w:val="right" w:pos="8838"/>
      </w:tabs>
    </w:pPr>
  </w:style>
  <w:style w:type="character" w:customStyle="1" w:styleId="EncabezadoCar">
    <w:name w:val="Encabezado Car"/>
    <w:basedOn w:val="Fuentedeprrafopredeter"/>
    <w:link w:val="Encabezado"/>
    <w:uiPriority w:val="99"/>
    <w:rsid w:val="00F44E7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4E7A"/>
    <w:pPr>
      <w:tabs>
        <w:tab w:val="center" w:pos="4419"/>
        <w:tab w:val="right" w:pos="8838"/>
      </w:tabs>
    </w:pPr>
  </w:style>
  <w:style w:type="character" w:customStyle="1" w:styleId="PiedepginaCar">
    <w:name w:val="Pie de página Car"/>
    <w:basedOn w:val="Fuentedeprrafopredeter"/>
    <w:link w:val="Piedepgina"/>
    <w:uiPriority w:val="99"/>
    <w:rsid w:val="00F44E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3501">
      <w:bodyDiv w:val="1"/>
      <w:marLeft w:val="0"/>
      <w:marRight w:val="0"/>
      <w:marTop w:val="0"/>
      <w:marBottom w:val="0"/>
      <w:divBdr>
        <w:top w:val="none" w:sz="0" w:space="0" w:color="auto"/>
        <w:left w:val="none" w:sz="0" w:space="0" w:color="auto"/>
        <w:bottom w:val="none" w:sz="0" w:space="0" w:color="auto"/>
        <w:right w:val="none" w:sz="0" w:space="0" w:color="auto"/>
      </w:divBdr>
    </w:div>
    <w:div w:id="61566327">
      <w:bodyDiv w:val="1"/>
      <w:marLeft w:val="0"/>
      <w:marRight w:val="0"/>
      <w:marTop w:val="0"/>
      <w:marBottom w:val="0"/>
      <w:divBdr>
        <w:top w:val="none" w:sz="0" w:space="0" w:color="auto"/>
        <w:left w:val="none" w:sz="0" w:space="0" w:color="auto"/>
        <w:bottom w:val="none" w:sz="0" w:space="0" w:color="auto"/>
        <w:right w:val="none" w:sz="0" w:space="0" w:color="auto"/>
      </w:divBdr>
      <w:divsChild>
        <w:div w:id="1021665310">
          <w:marLeft w:val="0"/>
          <w:marRight w:val="0"/>
          <w:marTop w:val="0"/>
          <w:marBottom w:val="0"/>
          <w:divBdr>
            <w:top w:val="none" w:sz="0" w:space="0" w:color="auto"/>
            <w:left w:val="none" w:sz="0" w:space="0" w:color="auto"/>
            <w:bottom w:val="none" w:sz="0" w:space="0" w:color="auto"/>
            <w:right w:val="none" w:sz="0" w:space="0" w:color="auto"/>
          </w:divBdr>
        </w:div>
        <w:div w:id="2112433164">
          <w:marLeft w:val="0"/>
          <w:marRight w:val="0"/>
          <w:marTop w:val="0"/>
          <w:marBottom w:val="0"/>
          <w:divBdr>
            <w:top w:val="none" w:sz="0" w:space="0" w:color="auto"/>
            <w:left w:val="none" w:sz="0" w:space="0" w:color="auto"/>
            <w:bottom w:val="none" w:sz="0" w:space="0" w:color="auto"/>
            <w:right w:val="none" w:sz="0" w:space="0" w:color="auto"/>
          </w:divBdr>
        </w:div>
        <w:div w:id="1631322156">
          <w:marLeft w:val="0"/>
          <w:marRight w:val="0"/>
          <w:marTop w:val="0"/>
          <w:marBottom w:val="0"/>
          <w:divBdr>
            <w:top w:val="none" w:sz="0" w:space="0" w:color="auto"/>
            <w:left w:val="none" w:sz="0" w:space="0" w:color="auto"/>
            <w:bottom w:val="none" w:sz="0" w:space="0" w:color="auto"/>
            <w:right w:val="none" w:sz="0" w:space="0" w:color="auto"/>
          </w:divBdr>
        </w:div>
        <w:div w:id="269360426">
          <w:marLeft w:val="0"/>
          <w:marRight w:val="0"/>
          <w:marTop w:val="0"/>
          <w:marBottom w:val="0"/>
          <w:divBdr>
            <w:top w:val="none" w:sz="0" w:space="0" w:color="auto"/>
            <w:left w:val="none" w:sz="0" w:space="0" w:color="auto"/>
            <w:bottom w:val="none" w:sz="0" w:space="0" w:color="auto"/>
            <w:right w:val="none" w:sz="0" w:space="0" w:color="auto"/>
          </w:divBdr>
        </w:div>
        <w:div w:id="1561673687">
          <w:marLeft w:val="0"/>
          <w:marRight w:val="0"/>
          <w:marTop w:val="0"/>
          <w:marBottom w:val="0"/>
          <w:divBdr>
            <w:top w:val="none" w:sz="0" w:space="0" w:color="auto"/>
            <w:left w:val="none" w:sz="0" w:space="0" w:color="auto"/>
            <w:bottom w:val="none" w:sz="0" w:space="0" w:color="auto"/>
            <w:right w:val="none" w:sz="0" w:space="0" w:color="auto"/>
          </w:divBdr>
        </w:div>
        <w:div w:id="1199198520">
          <w:marLeft w:val="0"/>
          <w:marRight w:val="0"/>
          <w:marTop w:val="0"/>
          <w:marBottom w:val="0"/>
          <w:divBdr>
            <w:top w:val="none" w:sz="0" w:space="0" w:color="auto"/>
            <w:left w:val="none" w:sz="0" w:space="0" w:color="auto"/>
            <w:bottom w:val="none" w:sz="0" w:space="0" w:color="auto"/>
            <w:right w:val="none" w:sz="0" w:space="0" w:color="auto"/>
          </w:divBdr>
        </w:div>
      </w:divsChild>
    </w:div>
    <w:div w:id="179509245">
      <w:bodyDiv w:val="1"/>
      <w:marLeft w:val="0"/>
      <w:marRight w:val="0"/>
      <w:marTop w:val="0"/>
      <w:marBottom w:val="0"/>
      <w:divBdr>
        <w:top w:val="none" w:sz="0" w:space="0" w:color="auto"/>
        <w:left w:val="none" w:sz="0" w:space="0" w:color="auto"/>
        <w:bottom w:val="none" w:sz="0" w:space="0" w:color="auto"/>
        <w:right w:val="none" w:sz="0" w:space="0" w:color="auto"/>
      </w:divBdr>
      <w:divsChild>
        <w:div w:id="227738248">
          <w:marLeft w:val="0"/>
          <w:marRight w:val="0"/>
          <w:marTop w:val="0"/>
          <w:marBottom w:val="0"/>
          <w:divBdr>
            <w:top w:val="none" w:sz="0" w:space="0" w:color="auto"/>
            <w:left w:val="none" w:sz="0" w:space="0" w:color="auto"/>
            <w:bottom w:val="none" w:sz="0" w:space="0" w:color="auto"/>
            <w:right w:val="none" w:sz="0" w:space="0" w:color="auto"/>
          </w:divBdr>
        </w:div>
        <w:div w:id="283971219">
          <w:marLeft w:val="0"/>
          <w:marRight w:val="0"/>
          <w:marTop w:val="0"/>
          <w:marBottom w:val="0"/>
          <w:divBdr>
            <w:top w:val="none" w:sz="0" w:space="0" w:color="auto"/>
            <w:left w:val="none" w:sz="0" w:space="0" w:color="auto"/>
            <w:bottom w:val="none" w:sz="0" w:space="0" w:color="auto"/>
            <w:right w:val="none" w:sz="0" w:space="0" w:color="auto"/>
          </w:divBdr>
        </w:div>
        <w:div w:id="986979282">
          <w:marLeft w:val="0"/>
          <w:marRight w:val="0"/>
          <w:marTop w:val="0"/>
          <w:marBottom w:val="0"/>
          <w:divBdr>
            <w:top w:val="none" w:sz="0" w:space="0" w:color="auto"/>
            <w:left w:val="none" w:sz="0" w:space="0" w:color="auto"/>
            <w:bottom w:val="none" w:sz="0" w:space="0" w:color="auto"/>
            <w:right w:val="none" w:sz="0" w:space="0" w:color="auto"/>
          </w:divBdr>
        </w:div>
        <w:div w:id="1781217470">
          <w:marLeft w:val="0"/>
          <w:marRight w:val="0"/>
          <w:marTop w:val="0"/>
          <w:marBottom w:val="0"/>
          <w:divBdr>
            <w:top w:val="none" w:sz="0" w:space="0" w:color="auto"/>
            <w:left w:val="none" w:sz="0" w:space="0" w:color="auto"/>
            <w:bottom w:val="none" w:sz="0" w:space="0" w:color="auto"/>
            <w:right w:val="none" w:sz="0" w:space="0" w:color="auto"/>
          </w:divBdr>
        </w:div>
        <w:div w:id="1459494091">
          <w:marLeft w:val="0"/>
          <w:marRight w:val="0"/>
          <w:marTop w:val="0"/>
          <w:marBottom w:val="0"/>
          <w:divBdr>
            <w:top w:val="none" w:sz="0" w:space="0" w:color="auto"/>
            <w:left w:val="none" w:sz="0" w:space="0" w:color="auto"/>
            <w:bottom w:val="none" w:sz="0" w:space="0" w:color="auto"/>
            <w:right w:val="none" w:sz="0" w:space="0" w:color="auto"/>
          </w:divBdr>
        </w:div>
        <w:div w:id="767889813">
          <w:marLeft w:val="0"/>
          <w:marRight w:val="0"/>
          <w:marTop w:val="0"/>
          <w:marBottom w:val="0"/>
          <w:divBdr>
            <w:top w:val="none" w:sz="0" w:space="0" w:color="auto"/>
            <w:left w:val="none" w:sz="0" w:space="0" w:color="auto"/>
            <w:bottom w:val="none" w:sz="0" w:space="0" w:color="auto"/>
            <w:right w:val="none" w:sz="0" w:space="0" w:color="auto"/>
          </w:divBdr>
        </w:div>
        <w:div w:id="482818593">
          <w:marLeft w:val="0"/>
          <w:marRight w:val="0"/>
          <w:marTop w:val="0"/>
          <w:marBottom w:val="0"/>
          <w:divBdr>
            <w:top w:val="none" w:sz="0" w:space="0" w:color="auto"/>
            <w:left w:val="none" w:sz="0" w:space="0" w:color="auto"/>
            <w:bottom w:val="none" w:sz="0" w:space="0" w:color="auto"/>
            <w:right w:val="none" w:sz="0" w:space="0" w:color="auto"/>
          </w:divBdr>
        </w:div>
        <w:div w:id="479269584">
          <w:marLeft w:val="0"/>
          <w:marRight w:val="0"/>
          <w:marTop w:val="0"/>
          <w:marBottom w:val="0"/>
          <w:divBdr>
            <w:top w:val="none" w:sz="0" w:space="0" w:color="auto"/>
            <w:left w:val="none" w:sz="0" w:space="0" w:color="auto"/>
            <w:bottom w:val="none" w:sz="0" w:space="0" w:color="auto"/>
            <w:right w:val="none" w:sz="0" w:space="0" w:color="auto"/>
          </w:divBdr>
        </w:div>
        <w:div w:id="1368020364">
          <w:marLeft w:val="0"/>
          <w:marRight w:val="0"/>
          <w:marTop w:val="0"/>
          <w:marBottom w:val="0"/>
          <w:divBdr>
            <w:top w:val="none" w:sz="0" w:space="0" w:color="auto"/>
            <w:left w:val="none" w:sz="0" w:space="0" w:color="auto"/>
            <w:bottom w:val="none" w:sz="0" w:space="0" w:color="auto"/>
            <w:right w:val="none" w:sz="0" w:space="0" w:color="auto"/>
          </w:divBdr>
        </w:div>
      </w:divsChild>
    </w:div>
    <w:div w:id="396974538">
      <w:bodyDiv w:val="1"/>
      <w:marLeft w:val="0"/>
      <w:marRight w:val="0"/>
      <w:marTop w:val="0"/>
      <w:marBottom w:val="0"/>
      <w:divBdr>
        <w:top w:val="none" w:sz="0" w:space="0" w:color="auto"/>
        <w:left w:val="none" w:sz="0" w:space="0" w:color="auto"/>
        <w:bottom w:val="none" w:sz="0" w:space="0" w:color="auto"/>
        <w:right w:val="none" w:sz="0" w:space="0" w:color="auto"/>
      </w:divBdr>
    </w:div>
    <w:div w:id="669991128">
      <w:bodyDiv w:val="1"/>
      <w:marLeft w:val="0"/>
      <w:marRight w:val="0"/>
      <w:marTop w:val="0"/>
      <w:marBottom w:val="0"/>
      <w:divBdr>
        <w:top w:val="none" w:sz="0" w:space="0" w:color="auto"/>
        <w:left w:val="none" w:sz="0" w:space="0" w:color="auto"/>
        <w:bottom w:val="none" w:sz="0" w:space="0" w:color="auto"/>
        <w:right w:val="none" w:sz="0" w:space="0" w:color="auto"/>
      </w:divBdr>
    </w:div>
    <w:div w:id="687371932">
      <w:bodyDiv w:val="1"/>
      <w:marLeft w:val="0"/>
      <w:marRight w:val="0"/>
      <w:marTop w:val="0"/>
      <w:marBottom w:val="0"/>
      <w:divBdr>
        <w:top w:val="none" w:sz="0" w:space="0" w:color="auto"/>
        <w:left w:val="none" w:sz="0" w:space="0" w:color="auto"/>
        <w:bottom w:val="none" w:sz="0" w:space="0" w:color="auto"/>
        <w:right w:val="none" w:sz="0" w:space="0" w:color="auto"/>
      </w:divBdr>
    </w:div>
    <w:div w:id="762409666">
      <w:bodyDiv w:val="1"/>
      <w:marLeft w:val="0"/>
      <w:marRight w:val="0"/>
      <w:marTop w:val="0"/>
      <w:marBottom w:val="0"/>
      <w:divBdr>
        <w:top w:val="none" w:sz="0" w:space="0" w:color="auto"/>
        <w:left w:val="none" w:sz="0" w:space="0" w:color="auto"/>
        <w:bottom w:val="none" w:sz="0" w:space="0" w:color="auto"/>
        <w:right w:val="none" w:sz="0" w:space="0" w:color="auto"/>
      </w:divBdr>
    </w:div>
    <w:div w:id="771170523">
      <w:bodyDiv w:val="1"/>
      <w:marLeft w:val="0"/>
      <w:marRight w:val="0"/>
      <w:marTop w:val="0"/>
      <w:marBottom w:val="0"/>
      <w:divBdr>
        <w:top w:val="none" w:sz="0" w:space="0" w:color="auto"/>
        <w:left w:val="none" w:sz="0" w:space="0" w:color="auto"/>
        <w:bottom w:val="none" w:sz="0" w:space="0" w:color="auto"/>
        <w:right w:val="none" w:sz="0" w:space="0" w:color="auto"/>
      </w:divBdr>
    </w:div>
    <w:div w:id="829948977">
      <w:bodyDiv w:val="1"/>
      <w:marLeft w:val="0"/>
      <w:marRight w:val="0"/>
      <w:marTop w:val="0"/>
      <w:marBottom w:val="0"/>
      <w:divBdr>
        <w:top w:val="none" w:sz="0" w:space="0" w:color="auto"/>
        <w:left w:val="none" w:sz="0" w:space="0" w:color="auto"/>
        <w:bottom w:val="none" w:sz="0" w:space="0" w:color="auto"/>
        <w:right w:val="none" w:sz="0" w:space="0" w:color="auto"/>
      </w:divBdr>
    </w:div>
    <w:div w:id="839781133">
      <w:bodyDiv w:val="1"/>
      <w:marLeft w:val="0"/>
      <w:marRight w:val="0"/>
      <w:marTop w:val="0"/>
      <w:marBottom w:val="0"/>
      <w:divBdr>
        <w:top w:val="none" w:sz="0" w:space="0" w:color="auto"/>
        <w:left w:val="none" w:sz="0" w:space="0" w:color="auto"/>
        <w:bottom w:val="none" w:sz="0" w:space="0" w:color="auto"/>
        <w:right w:val="none" w:sz="0" w:space="0" w:color="auto"/>
      </w:divBdr>
    </w:div>
    <w:div w:id="920719587">
      <w:bodyDiv w:val="1"/>
      <w:marLeft w:val="0"/>
      <w:marRight w:val="0"/>
      <w:marTop w:val="0"/>
      <w:marBottom w:val="0"/>
      <w:divBdr>
        <w:top w:val="none" w:sz="0" w:space="0" w:color="auto"/>
        <w:left w:val="none" w:sz="0" w:space="0" w:color="auto"/>
        <w:bottom w:val="none" w:sz="0" w:space="0" w:color="auto"/>
        <w:right w:val="none" w:sz="0" w:space="0" w:color="auto"/>
      </w:divBdr>
      <w:divsChild>
        <w:div w:id="1879972212">
          <w:marLeft w:val="0"/>
          <w:marRight w:val="0"/>
          <w:marTop w:val="0"/>
          <w:marBottom w:val="0"/>
          <w:divBdr>
            <w:top w:val="none" w:sz="0" w:space="0" w:color="auto"/>
            <w:left w:val="none" w:sz="0" w:space="0" w:color="auto"/>
            <w:bottom w:val="none" w:sz="0" w:space="0" w:color="auto"/>
            <w:right w:val="none" w:sz="0" w:space="0" w:color="auto"/>
          </w:divBdr>
        </w:div>
        <w:div w:id="1999073325">
          <w:marLeft w:val="0"/>
          <w:marRight w:val="0"/>
          <w:marTop w:val="0"/>
          <w:marBottom w:val="0"/>
          <w:divBdr>
            <w:top w:val="none" w:sz="0" w:space="0" w:color="auto"/>
            <w:left w:val="none" w:sz="0" w:space="0" w:color="auto"/>
            <w:bottom w:val="none" w:sz="0" w:space="0" w:color="auto"/>
            <w:right w:val="none" w:sz="0" w:space="0" w:color="auto"/>
          </w:divBdr>
        </w:div>
        <w:div w:id="469784858">
          <w:marLeft w:val="0"/>
          <w:marRight w:val="0"/>
          <w:marTop w:val="0"/>
          <w:marBottom w:val="0"/>
          <w:divBdr>
            <w:top w:val="none" w:sz="0" w:space="0" w:color="auto"/>
            <w:left w:val="none" w:sz="0" w:space="0" w:color="auto"/>
            <w:bottom w:val="none" w:sz="0" w:space="0" w:color="auto"/>
            <w:right w:val="none" w:sz="0" w:space="0" w:color="auto"/>
          </w:divBdr>
        </w:div>
        <w:div w:id="1827742700">
          <w:marLeft w:val="0"/>
          <w:marRight w:val="0"/>
          <w:marTop w:val="0"/>
          <w:marBottom w:val="0"/>
          <w:divBdr>
            <w:top w:val="none" w:sz="0" w:space="0" w:color="auto"/>
            <w:left w:val="none" w:sz="0" w:space="0" w:color="auto"/>
            <w:bottom w:val="none" w:sz="0" w:space="0" w:color="auto"/>
            <w:right w:val="none" w:sz="0" w:space="0" w:color="auto"/>
          </w:divBdr>
        </w:div>
      </w:divsChild>
    </w:div>
    <w:div w:id="1329403130">
      <w:bodyDiv w:val="1"/>
      <w:marLeft w:val="0"/>
      <w:marRight w:val="0"/>
      <w:marTop w:val="0"/>
      <w:marBottom w:val="0"/>
      <w:divBdr>
        <w:top w:val="none" w:sz="0" w:space="0" w:color="auto"/>
        <w:left w:val="none" w:sz="0" w:space="0" w:color="auto"/>
        <w:bottom w:val="none" w:sz="0" w:space="0" w:color="auto"/>
        <w:right w:val="none" w:sz="0" w:space="0" w:color="auto"/>
      </w:divBdr>
      <w:divsChild>
        <w:div w:id="1072704384">
          <w:marLeft w:val="0"/>
          <w:marRight w:val="0"/>
          <w:marTop w:val="0"/>
          <w:marBottom w:val="0"/>
          <w:divBdr>
            <w:top w:val="none" w:sz="0" w:space="0" w:color="auto"/>
            <w:left w:val="none" w:sz="0" w:space="0" w:color="auto"/>
            <w:bottom w:val="none" w:sz="0" w:space="0" w:color="auto"/>
            <w:right w:val="none" w:sz="0" w:space="0" w:color="auto"/>
          </w:divBdr>
        </w:div>
        <w:div w:id="1861237025">
          <w:marLeft w:val="0"/>
          <w:marRight w:val="0"/>
          <w:marTop w:val="0"/>
          <w:marBottom w:val="0"/>
          <w:divBdr>
            <w:top w:val="none" w:sz="0" w:space="0" w:color="auto"/>
            <w:left w:val="none" w:sz="0" w:space="0" w:color="auto"/>
            <w:bottom w:val="none" w:sz="0" w:space="0" w:color="auto"/>
            <w:right w:val="none" w:sz="0" w:space="0" w:color="auto"/>
          </w:divBdr>
        </w:div>
        <w:div w:id="970134067">
          <w:marLeft w:val="0"/>
          <w:marRight w:val="0"/>
          <w:marTop w:val="0"/>
          <w:marBottom w:val="0"/>
          <w:divBdr>
            <w:top w:val="none" w:sz="0" w:space="0" w:color="auto"/>
            <w:left w:val="none" w:sz="0" w:space="0" w:color="auto"/>
            <w:bottom w:val="none" w:sz="0" w:space="0" w:color="auto"/>
            <w:right w:val="none" w:sz="0" w:space="0" w:color="auto"/>
          </w:divBdr>
        </w:div>
        <w:div w:id="1095370788">
          <w:marLeft w:val="0"/>
          <w:marRight w:val="0"/>
          <w:marTop w:val="0"/>
          <w:marBottom w:val="0"/>
          <w:divBdr>
            <w:top w:val="none" w:sz="0" w:space="0" w:color="auto"/>
            <w:left w:val="none" w:sz="0" w:space="0" w:color="auto"/>
            <w:bottom w:val="none" w:sz="0" w:space="0" w:color="auto"/>
            <w:right w:val="none" w:sz="0" w:space="0" w:color="auto"/>
          </w:divBdr>
        </w:div>
      </w:divsChild>
    </w:div>
    <w:div w:id="1661495808">
      <w:bodyDiv w:val="1"/>
      <w:marLeft w:val="0"/>
      <w:marRight w:val="0"/>
      <w:marTop w:val="0"/>
      <w:marBottom w:val="0"/>
      <w:divBdr>
        <w:top w:val="none" w:sz="0" w:space="0" w:color="auto"/>
        <w:left w:val="none" w:sz="0" w:space="0" w:color="auto"/>
        <w:bottom w:val="none" w:sz="0" w:space="0" w:color="auto"/>
        <w:right w:val="none" w:sz="0" w:space="0" w:color="auto"/>
      </w:divBdr>
    </w:div>
    <w:div w:id="1731806280">
      <w:bodyDiv w:val="1"/>
      <w:marLeft w:val="0"/>
      <w:marRight w:val="0"/>
      <w:marTop w:val="0"/>
      <w:marBottom w:val="0"/>
      <w:divBdr>
        <w:top w:val="none" w:sz="0" w:space="0" w:color="auto"/>
        <w:left w:val="none" w:sz="0" w:space="0" w:color="auto"/>
        <w:bottom w:val="none" w:sz="0" w:space="0" w:color="auto"/>
        <w:right w:val="none" w:sz="0" w:space="0" w:color="auto"/>
      </w:divBdr>
    </w:div>
    <w:div w:id="1733457070">
      <w:bodyDiv w:val="1"/>
      <w:marLeft w:val="0"/>
      <w:marRight w:val="0"/>
      <w:marTop w:val="0"/>
      <w:marBottom w:val="0"/>
      <w:divBdr>
        <w:top w:val="none" w:sz="0" w:space="0" w:color="auto"/>
        <w:left w:val="none" w:sz="0" w:space="0" w:color="auto"/>
        <w:bottom w:val="none" w:sz="0" w:space="0" w:color="auto"/>
        <w:right w:val="none" w:sz="0" w:space="0" w:color="auto"/>
      </w:divBdr>
    </w:div>
    <w:div w:id="1882545855">
      <w:bodyDiv w:val="1"/>
      <w:marLeft w:val="0"/>
      <w:marRight w:val="0"/>
      <w:marTop w:val="0"/>
      <w:marBottom w:val="0"/>
      <w:divBdr>
        <w:top w:val="none" w:sz="0" w:space="0" w:color="auto"/>
        <w:left w:val="none" w:sz="0" w:space="0" w:color="auto"/>
        <w:bottom w:val="none" w:sz="0" w:space="0" w:color="auto"/>
        <w:right w:val="none" w:sz="0" w:space="0" w:color="auto"/>
      </w:divBdr>
    </w:div>
    <w:div w:id="1943144509">
      <w:bodyDiv w:val="1"/>
      <w:marLeft w:val="0"/>
      <w:marRight w:val="0"/>
      <w:marTop w:val="0"/>
      <w:marBottom w:val="0"/>
      <w:divBdr>
        <w:top w:val="none" w:sz="0" w:space="0" w:color="auto"/>
        <w:left w:val="none" w:sz="0" w:space="0" w:color="auto"/>
        <w:bottom w:val="none" w:sz="0" w:space="0" w:color="auto"/>
        <w:right w:val="none" w:sz="0" w:space="0" w:color="auto"/>
      </w:divBdr>
    </w:div>
    <w:div w:id="20896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gel@cusur.ud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ntf22@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A1DB-5EB4-458F-BC94-203530D3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12</Pages>
  <Words>3622</Words>
  <Characters>19922</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Romero, Miguel Angel</dc:creator>
  <cp:keywords/>
  <dc:description/>
  <cp:lastModifiedBy>elsom</cp:lastModifiedBy>
  <cp:revision>16</cp:revision>
  <dcterms:created xsi:type="dcterms:W3CDTF">2020-02-12T18:45:00Z</dcterms:created>
  <dcterms:modified xsi:type="dcterms:W3CDTF">2020-02-19T16:46:00Z</dcterms:modified>
</cp:coreProperties>
</file>